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5DD" w:rsidRDefault="00B835DD" w:rsidP="000207B2">
      <w:pPr>
        <w:shd w:val="clear" w:color="auto" w:fill="FFFFFF"/>
        <w:spacing w:after="0"/>
        <w:jc w:val="right"/>
        <w:rPr>
          <w:rFonts w:cstheme="minorHAnsi"/>
          <w:color w:val="7030A0"/>
          <w:sz w:val="36"/>
          <w:szCs w:val="24"/>
          <w:lang w:val="es-ES"/>
        </w:rPr>
      </w:pPr>
      <w:r w:rsidRPr="00B835DD">
        <w:rPr>
          <w:rFonts w:cstheme="minorHAnsi"/>
          <w:color w:val="7030A0"/>
          <w:sz w:val="36"/>
          <w:szCs w:val="24"/>
          <w:lang w:val="es-ES"/>
        </w:rPr>
        <w:t>Las buenas prácticas en la enseñanza de la Bacteriología Veterinaria en un Ambientes Virtual</w:t>
      </w:r>
    </w:p>
    <w:p w:rsidR="000207B2" w:rsidRDefault="000207B2" w:rsidP="000207B2">
      <w:pPr>
        <w:shd w:val="clear" w:color="auto" w:fill="FFFFFF"/>
        <w:spacing w:after="0"/>
        <w:jc w:val="right"/>
        <w:rPr>
          <w:rFonts w:cstheme="minorHAnsi"/>
          <w:color w:val="7030A0"/>
          <w:sz w:val="36"/>
          <w:szCs w:val="24"/>
          <w:lang w:val="es-ES"/>
        </w:rPr>
      </w:pPr>
    </w:p>
    <w:p w:rsidR="000207B2" w:rsidRPr="000207B2" w:rsidRDefault="000207B2" w:rsidP="000207B2">
      <w:pPr>
        <w:shd w:val="clear" w:color="auto" w:fill="FFFFFF"/>
        <w:spacing w:after="0"/>
        <w:jc w:val="right"/>
        <w:rPr>
          <w:rFonts w:cstheme="minorHAnsi"/>
          <w:i/>
          <w:color w:val="7030A0"/>
          <w:sz w:val="28"/>
          <w:szCs w:val="24"/>
          <w:lang w:val="es-ES"/>
        </w:rPr>
      </w:pPr>
      <w:proofErr w:type="spellStart"/>
      <w:r w:rsidRPr="000207B2">
        <w:rPr>
          <w:rFonts w:cstheme="minorHAnsi"/>
          <w:i/>
          <w:color w:val="7030A0"/>
          <w:sz w:val="28"/>
          <w:szCs w:val="24"/>
          <w:lang w:val="es-ES"/>
        </w:rPr>
        <w:t>Good</w:t>
      </w:r>
      <w:proofErr w:type="spellEnd"/>
      <w:r w:rsidRPr="000207B2">
        <w:rPr>
          <w:rFonts w:cstheme="minorHAnsi"/>
          <w:i/>
          <w:color w:val="7030A0"/>
          <w:sz w:val="28"/>
          <w:szCs w:val="24"/>
          <w:lang w:val="es-ES"/>
        </w:rPr>
        <w:t xml:space="preserve"> </w:t>
      </w:r>
      <w:proofErr w:type="spellStart"/>
      <w:r w:rsidRPr="000207B2">
        <w:rPr>
          <w:rFonts w:cstheme="minorHAnsi"/>
          <w:i/>
          <w:color w:val="7030A0"/>
          <w:sz w:val="28"/>
          <w:szCs w:val="24"/>
          <w:lang w:val="es-ES"/>
        </w:rPr>
        <w:t>practices</w:t>
      </w:r>
      <w:proofErr w:type="spellEnd"/>
      <w:r w:rsidRPr="000207B2">
        <w:rPr>
          <w:rFonts w:cstheme="minorHAnsi"/>
          <w:i/>
          <w:color w:val="7030A0"/>
          <w:sz w:val="28"/>
          <w:szCs w:val="24"/>
          <w:lang w:val="es-ES"/>
        </w:rPr>
        <w:t xml:space="preserve"> in </w:t>
      </w:r>
      <w:proofErr w:type="spellStart"/>
      <w:r w:rsidRPr="000207B2">
        <w:rPr>
          <w:rFonts w:cstheme="minorHAnsi"/>
          <w:i/>
          <w:color w:val="7030A0"/>
          <w:sz w:val="28"/>
          <w:szCs w:val="24"/>
          <w:lang w:val="es-ES"/>
        </w:rPr>
        <w:t>the</w:t>
      </w:r>
      <w:proofErr w:type="spellEnd"/>
      <w:r w:rsidRPr="000207B2">
        <w:rPr>
          <w:rFonts w:cstheme="minorHAnsi"/>
          <w:i/>
          <w:color w:val="7030A0"/>
          <w:sz w:val="28"/>
          <w:szCs w:val="24"/>
          <w:lang w:val="es-ES"/>
        </w:rPr>
        <w:t xml:space="preserve"> </w:t>
      </w:r>
      <w:proofErr w:type="spellStart"/>
      <w:r w:rsidRPr="000207B2">
        <w:rPr>
          <w:rFonts w:cstheme="minorHAnsi"/>
          <w:i/>
          <w:color w:val="7030A0"/>
          <w:sz w:val="28"/>
          <w:szCs w:val="24"/>
          <w:lang w:val="es-ES"/>
        </w:rPr>
        <w:t>teaching</w:t>
      </w:r>
      <w:proofErr w:type="spellEnd"/>
      <w:r w:rsidRPr="000207B2">
        <w:rPr>
          <w:rFonts w:cstheme="minorHAnsi"/>
          <w:i/>
          <w:color w:val="7030A0"/>
          <w:sz w:val="28"/>
          <w:szCs w:val="24"/>
          <w:lang w:val="es-ES"/>
        </w:rPr>
        <w:t xml:space="preserve"> of </w:t>
      </w:r>
      <w:proofErr w:type="spellStart"/>
      <w:r w:rsidRPr="000207B2">
        <w:rPr>
          <w:rFonts w:cstheme="minorHAnsi"/>
          <w:i/>
          <w:color w:val="7030A0"/>
          <w:sz w:val="28"/>
          <w:szCs w:val="24"/>
          <w:lang w:val="es-ES"/>
        </w:rPr>
        <w:t>Veterinary</w:t>
      </w:r>
      <w:proofErr w:type="spellEnd"/>
      <w:r w:rsidRPr="000207B2">
        <w:rPr>
          <w:rFonts w:cstheme="minorHAnsi"/>
          <w:i/>
          <w:color w:val="7030A0"/>
          <w:sz w:val="28"/>
          <w:szCs w:val="24"/>
          <w:lang w:val="es-ES"/>
        </w:rPr>
        <w:t xml:space="preserve"> </w:t>
      </w:r>
      <w:proofErr w:type="spellStart"/>
      <w:r w:rsidRPr="000207B2">
        <w:rPr>
          <w:rFonts w:cstheme="minorHAnsi"/>
          <w:i/>
          <w:color w:val="7030A0"/>
          <w:sz w:val="28"/>
          <w:szCs w:val="24"/>
          <w:lang w:val="es-ES"/>
        </w:rPr>
        <w:t>Bacteriology</w:t>
      </w:r>
      <w:proofErr w:type="spellEnd"/>
      <w:r w:rsidRPr="000207B2">
        <w:rPr>
          <w:rFonts w:cstheme="minorHAnsi"/>
          <w:i/>
          <w:color w:val="7030A0"/>
          <w:sz w:val="28"/>
          <w:szCs w:val="24"/>
          <w:lang w:val="es-ES"/>
        </w:rPr>
        <w:t xml:space="preserve"> in Virtual </w:t>
      </w:r>
      <w:proofErr w:type="spellStart"/>
      <w:r w:rsidRPr="000207B2">
        <w:rPr>
          <w:rFonts w:cstheme="minorHAnsi"/>
          <w:i/>
          <w:color w:val="7030A0"/>
          <w:sz w:val="28"/>
          <w:szCs w:val="24"/>
          <w:lang w:val="es-ES"/>
        </w:rPr>
        <w:t>Environments</w:t>
      </w:r>
      <w:proofErr w:type="spellEnd"/>
    </w:p>
    <w:p w:rsidR="00B835DD" w:rsidRDefault="00B835DD" w:rsidP="000207B2">
      <w:pPr>
        <w:shd w:val="clear" w:color="auto" w:fill="FFFFFF"/>
        <w:spacing w:after="0"/>
        <w:jc w:val="right"/>
        <w:rPr>
          <w:rFonts w:cstheme="minorHAnsi"/>
          <w:sz w:val="24"/>
          <w:szCs w:val="24"/>
          <w:lang w:val="es-ES"/>
        </w:rPr>
      </w:pPr>
    </w:p>
    <w:p w:rsidR="00B835DD" w:rsidRPr="00B835DD" w:rsidRDefault="00B835DD" w:rsidP="000207B2">
      <w:pPr>
        <w:shd w:val="clear" w:color="auto" w:fill="FFFFFF"/>
        <w:spacing w:after="0"/>
        <w:jc w:val="right"/>
        <w:rPr>
          <w:rFonts w:cstheme="minorHAnsi"/>
          <w:b/>
          <w:sz w:val="24"/>
          <w:szCs w:val="24"/>
          <w:vertAlign w:val="superscript"/>
        </w:rPr>
      </w:pPr>
      <w:r w:rsidRPr="00B835DD">
        <w:rPr>
          <w:rFonts w:cstheme="minorHAnsi"/>
          <w:b/>
          <w:sz w:val="24"/>
          <w:szCs w:val="24"/>
        </w:rPr>
        <w:t>María Cristina Morán Salas</w:t>
      </w:r>
    </w:p>
    <w:p w:rsidR="00B835DD" w:rsidRPr="00B835DD" w:rsidRDefault="00B835DD" w:rsidP="000207B2">
      <w:pPr>
        <w:shd w:val="clear" w:color="auto" w:fill="FFFFFF"/>
        <w:spacing w:after="0"/>
        <w:jc w:val="right"/>
        <w:rPr>
          <w:rFonts w:cstheme="minorHAnsi"/>
          <w:sz w:val="24"/>
          <w:szCs w:val="24"/>
        </w:rPr>
      </w:pPr>
      <w:r w:rsidRPr="00B835DD">
        <w:rPr>
          <w:rFonts w:cstheme="minorHAnsi"/>
          <w:sz w:val="24"/>
          <w:szCs w:val="24"/>
        </w:rPr>
        <w:t>Universidad de Guadalajara</w:t>
      </w:r>
    </w:p>
    <w:p w:rsidR="00B835DD" w:rsidRDefault="00B835DD" w:rsidP="000207B2">
      <w:pPr>
        <w:shd w:val="clear" w:color="auto" w:fill="FFFFFF"/>
        <w:spacing w:after="0"/>
        <w:jc w:val="right"/>
        <w:rPr>
          <w:rFonts w:cstheme="minorHAnsi"/>
          <w:color w:val="FF0000"/>
          <w:sz w:val="24"/>
          <w:szCs w:val="24"/>
        </w:rPr>
      </w:pPr>
      <w:r w:rsidRPr="00B835DD">
        <w:rPr>
          <w:rFonts w:cstheme="minorHAnsi"/>
          <w:color w:val="FF0000"/>
          <w:sz w:val="24"/>
          <w:szCs w:val="24"/>
        </w:rPr>
        <w:t xml:space="preserve">mcmorans@gmail.com </w:t>
      </w:r>
    </w:p>
    <w:p w:rsidR="00B835DD" w:rsidRDefault="00B835DD" w:rsidP="000207B2">
      <w:pPr>
        <w:shd w:val="clear" w:color="auto" w:fill="FFFFFF"/>
        <w:spacing w:after="0"/>
        <w:jc w:val="right"/>
        <w:rPr>
          <w:rFonts w:cstheme="minorHAnsi"/>
          <w:b/>
          <w:sz w:val="24"/>
          <w:szCs w:val="24"/>
        </w:rPr>
      </w:pPr>
    </w:p>
    <w:p w:rsidR="00B835DD" w:rsidRPr="00B835DD" w:rsidRDefault="00B835DD" w:rsidP="000207B2">
      <w:pPr>
        <w:shd w:val="clear" w:color="auto" w:fill="FFFFFF"/>
        <w:spacing w:after="0"/>
        <w:jc w:val="right"/>
        <w:rPr>
          <w:rFonts w:cstheme="minorHAnsi"/>
          <w:b/>
          <w:sz w:val="24"/>
          <w:szCs w:val="24"/>
          <w:vertAlign w:val="superscript"/>
        </w:rPr>
      </w:pPr>
      <w:r w:rsidRPr="00B835DD">
        <w:rPr>
          <w:rFonts w:cstheme="minorHAnsi"/>
          <w:b/>
          <w:sz w:val="24"/>
          <w:szCs w:val="24"/>
        </w:rPr>
        <w:t>Silvia Ruvalcaba Barrera</w:t>
      </w:r>
    </w:p>
    <w:p w:rsidR="00B835DD" w:rsidRPr="00B835DD" w:rsidRDefault="00B835DD" w:rsidP="000207B2">
      <w:pPr>
        <w:shd w:val="clear" w:color="auto" w:fill="FFFFFF"/>
        <w:spacing w:after="0"/>
        <w:jc w:val="right"/>
        <w:rPr>
          <w:rFonts w:cstheme="minorHAnsi"/>
          <w:sz w:val="24"/>
          <w:szCs w:val="24"/>
        </w:rPr>
      </w:pPr>
      <w:r w:rsidRPr="00B835DD">
        <w:rPr>
          <w:rFonts w:cstheme="minorHAnsi"/>
          <w:sz w:val="24"/>
          <w:szCs w:val="24"/>
        </w:rPr>
        <w:t>Universidad de Guadalajara</w:t>
      </w:r>
    </w:p>
    <w:p w:rsidR="00B835DD" w:rsidRDefault="00B835DD" w:rsidP="000207B2">
      <w:pPr>
        <w:shd w:val="clear" w:color="auto" w:fill="FFFFFF"/>
        <w:spacing w:after="0"/>
        <w:jc w:val="right"/>
        <w:rPr>
          <w:rFonts w:cstheme="minorHAnsi"/>
          <w:b/>
          <w:sz w:val="24"/>
          <w:szCs w:val="24"/>
        </w:rPr>
      </w:pPr>
      <w:r w:rsidRPr="00B835DD">
        <w:rPr>
          <w:rFonts w:cstheme="minorHAnsi"/>
          <w:color w:val="FF0000"/>
          <w:sz w:val="24"/>
          <w:szCs w:val="24"/>
        </w:rPr>
        <w:t>silviaruvalcaba@gmail.com</w:t>
      </w:r>
    </w:p>
    <w:p w:rsidR="00B835DD" w:rsidRDefault="00B835DD" w:rsidP="000207B2">
      <w:pPr>
        <w:shd w:val="clear" w:color="auto" w:fill="FFFFFF"/>
        <w:spacing w:after="0"/>
        <w:jc w:val="right"/>
        <w:rPr>
          <w:rFonts w:cstheme="minorHAnsi"/>
          <w:b/>
          <w:sz w:val="24"/>
          <w:szCs w:val="24"/>
        </w:rPr>
      </w:pPr>
    </w:p>
    <w:p w:rsidR="00B835DD" w:rsidRPr="00B835DD" w:rsidRDefault="00B835DD" w:rsidP="000207B2">
      <w:pPr>
        <w:shd w:val="clear" w:color="auto" w:fill="FFFFFF"/>
        <w:spacing w:after="0"/>
        <w:jc w:val="right"/>
        <w:rPr>
          <w:rFonts w:cstheme="minorHAnsi"/>
          <w:b/>
          <w:sz w:val="24"/>
          <w:szCs w:val="24"/>
          <w:lang w:val="es-ES"/>
        </w:rPr>
      </w:pPr>
      <w:r w:rsidRPr="00B835DD">
        <w:rPr>
          <w:rFonts w:cstheme="minorHAnsi"/>
          <w:b/>
          <w:sz w:val="24"/>
          <w:szCs w:val="24"/>
        </w:rPr>
        <w:t>Martha Georgina Ley Fuentes</w:t>
      </w:r>
    </w:p>
    <w:p w:rsidR="00B835DD" w:rsidRPr="00B835DD" w:rsidRDefault="00B835DD" w:rsidP="000207B2">
      <w:pPr>
        <w:shd w:val="clear" w:color="auto" w:fill="FFFFFF"/>
        <w:spacing w:after="0"/>
        <w:jc w:val="right"/>
        <w:rPr>
          <w:rFonts w:cstheme="minorHAnsi"/>
          <w:sz w:val="24"/>
          <w:szCs w:val="24"/>
        </w:rPr>
      </w:pPr>
      <w:r w:rsidRPr="00B835DD">
        <w:rPr>
          <w:rFonts w:cstheme="minorHAnsi"/>
          <w:sz w:val="24"/>
          <w:szCs w:val="24"/>
        </w:rPr>
        <w:t>Universidad de Guadalajara</w:t>
      </w:r>
    </w:p>
    <w:p w:rsidR="00B835DD" w:rsidRPr="00B835DD" w:rsidRDefault="00B835DD" w:rsidP="000207B2">
      <w:pPr>
        <w:shd w:val="clear" w:color="auto" w:fill="FFFFFF"/>
        <w:spacing w:after="0"/>
        <w:jc w:val="right"/>
        <w:rPr>
          <w:rFonts w:cstheme="minorHAnsi"/>
          <w:color w:val="FF0000"/>
          <w:sz w:val="24"/>
          <w:szCs w:val="24"/>
        </w:rPr>
      </w:pPr>
      <w:r w:rsidRPr="00B835DD">
        <w:rPr>
          <w:rFonts w:cstheme="minorHAnsi"/>
          <w:color w:val="FF0000"/>
          <w:sz w:val="24"/>
          <w:szCs w:val="24"/>
        </w:rPr>
        <w:t xml:space="preserve">mleyl@redudg.udg.mx </w:t>
      </w:r>
    </w:p>
    <w:p w:rsidR="00B835DD" w:rsidRDefault="00B835DD" w:rsidP="00B835DD">
      <w:pPr>
        <w:shd w:val="clear" w:color="auto" w:fill="FFFFFF"/>
        <w:spacing w:after="0" w:line="360" w:lineRule="auto"/>
        <w:ind w:right="1183"/>
        <w:jc w:val="both"/>
        <w:rPr>
          <w:rFonts w:cstheme="minorHAnsi"/>
          <w:sz w:val="24"/>
          <w:szCs w:val="24"/>
          <w:lang w:val="es-ES"/>
        </w:rPr>
      </w:pPr>
    </w:p>
    <w:p w:rsidR="00B835DD" w:rsidRDefault="00B835DD" w:rsidP="00B835DD">
      <w:pPr>
        <w:shd w:val="clear" w:color="auto" w:fill="FFFFFF"/>
        <w:spacing w:after="0" w:line="360" w:lineRule="auto"/>
        <w:ind w:right="1183"/>
        <w:jc w:val="both"/>
        <w:rPr>
          <w:rFonts w:cstheme="minorHAnsi"/>
          <w:sz w:val="24"/>
          <w:szCs w:val="24"/>
          <w:lang w:val="es-ES"/>
        </w:rPr>
      </w:pPr>
    </w:p>
    <w:p w:rsidR="00B835DD" w:rsidRDefault="00B835DD" w:rsidP="00B835DD">
      <w:pPr>
        <w:shd w:val="clear" w:color="auto" w:fill="FFFFFF"/>
        <w:spacing w:after="0" w:line="360" w:lineRule="auto"/>
        <w:ind w:right="1183"/>
        <w:jc w:val="both"/>
        <w:rPr>
          <w:rFonts w:cstheme="minorHAnsi"/>
          <w:sz w:val="24"/>
          <w:szCs w:val="24"/>
          <w:lang w:val="es-ES"/>
        </w:rPr>
      </w:pPr>
    </w:p>
    <w:p w:rsidR="00B835DD" w:rsidRPr="00B835DD" w:rsidRDefault="00B835DD" w:rsidP="00B835DD">
      <w:pPr>
        <w:shd w:val="clear" w:color="auto" w:fill="FFFFFF"/>
        <w:spacing w:after="0" w:line="360" w:lineRule="auto"/>
        <w:ind w:right="1183"/>
        <w:jc w:val="both"/>
        <w:rPr>
          <w:rFonts w:cstheme="minorHAnsi"/>
          <w:color w:val="7030A0"/>
          <w:sz w:val="28"/>
          <w:szCs w:val="24"/>
          <w:lang w:val="es-ES"/>
        </w:rPr>
      </w:pPr>
      <w:r w:rsidRPr="00B835DD">
        <w:rPr>
          <w:rFonts w:cstheme="minorHAnsi"/>
          <w:color w:val="7030A0"/>
          <w:sz w:val="28"/>
          <w:szCs w:val="24"/>
          <w:lang w:val="es-ES"/>
        </w:rPr>
        <w:t>Resumen</w:t>
      </w:r>
    </w:p>
    <w:p w:rsidR="00B835DD" w:rsidRDefault="00B835DD" w:rsidP="000207B2">
      <w:pPr>
        <w:shd w:val="clear" w:color="auto" w:fill="FFFFFF"/>
        <w:tabs>
          <w:tab w:val="left" w:pos="10065"/>
        </w:tabs>
        <w:spacing w:after="0" w:line="360" w:lineRule="auto"/>
        <w:ind w:right="15"/>
        <w:jc w:val="both"/>
        <w:rPr>
          <w:rFonts w:ascii="Times New Roman" w:hAnsi="Times New Roman" w:cs="Times New Roman"/>
          <w:sz w:val="24"/>
          <w:szCs w:val="24"/>
          <w:lang w:val="es-ES"/>
        </w:rPr>
      </w:pPr>
      <w:r w:rsidRPr="000207B2">
        <w:rPr>
          <w:rFonts w:ascii="Times New Roman" w:hAnsi="Times New Roman" w:cs="Times New Roman"/>
          <w:sz w:val="24"/>
          <w:szCs w:val="24"/>
          <w:lang w:val="es-ES"/>
        </w:rPr>
        <w:t xml:space="preserve">La implementación de TIC como apoyo docente  además de cambiar el paradigma de la educación superior tiene un impacto significativo en el aprendizaje de los alumnos y en el fortalecimiento de sus competencias para la vida y para la profesión. En la Universidad de Guadalajara se emplea la plataforma Moodle como ambiente virtual de aprendizaje. Con el objetivo de evaluar el rendimiento académico a través de actividades lúdicas en los estudiantes de tercer semestre  de la Licenciatura  en Medicina Veterinaria se diversificaron y ampliaron los contenidos de los cursos impartidos en línea; para ello se diseñaron juegos y ejercicios como sopa de letras, crucigramas, relacionar figuras, ilustrar mapas y responder adivinanzas;  todas estas actividades fueron diseñadas con conocimientos disciplinares y se hospedaron en la plataforma Moodle. Se emplearon dos grupos de estudiantes de la asignatura de Bacteriología Veterinaria, uno de ellos se apoyó en la plataforma Moodle y realizó los ejercicios lúdicos, mientras que el otro se empleó como grupo control impartiéndose la asignatura de manera </w:t>
      </w:r>
      <w:r w:rsidRPr="000207B2">
        <w:rPr>
          <w:rFonts w:ascii="Times New Roman" w:hAnsi="Times New Roman" w:cs="Times New Roman"/>
          <w:sz w:val="24"/>
          <w:szCs w:val="24"/>
          <w:lang w:val="es-ES"/>
        </w:rPr>
        <w:lastRenderedPageBreak/>
        <w:t>totalmente presencial. Las actividades resultaron divertidas, motivaron a los alumnos, les brindaron confianza, disminuyeron su temor a la equivocación y facilitaron la comprensión de conceptos. El aprendizaje fue medido a través de la aplicación de los mismos instrumentos de evaluación. Las calificaciones aumentaron significativamente en un 12.56% en los alumnos con apoyo del ambiente virtual de aprendizaje y desarrollo de actividades lúdicas. Con base en estos resultados se considera relevante continuar con el uso de Moodle y este tipo de actividades como apoyo docente y como una importante estrategia de enseñanza de las ciencias como la Bacteriología.</w:t>
      </w:r>
    </w:p>
    <w:p w:rsidR="000207B2" w:rsidRDefault="000207B2" w:rsidP="000207B2">
      <w:pPr>
        <w:shd w:val="clear" w:color="auto" w:fill="FFFFFF"/>
        <w:tabs>
          <w:tab w:val="left" w:pos="10065"/>
        </w:tabs>
        <w:spacing w:after="0" w:line="360" w:lineRule="auto"/>
        <w:ind w:right="15"/>
        <w:jc w:val="both"/>
        <w:rPr>
          <w:rFonts w:ascii="Times New Roman" w:hAnsi="Times New Roman" w:cs="Times New Roman"/>
          <w:sz w:val="24"/>
          <w:szCs w:val="24"/>
          <w:lang w:val="es-ES"/>
        </w:rPr>
      </w:pPr>
    </w:p>
    <w:p w:rsidR="000207B2" w:rsidRDefault="000207B2" w:rsidP="000207B2">
      <w:pPr>
        <w:shd w:val="clear" w:color="auto" w:fill="FFFFFF"/>
        <w:tabs>
          <w:tab w:val="left" w:pos="10065"/>
        </w:tabs>
        <w:spacing w:after="0" w:line="360" w:lineRule="auto"/>
        <w:ind w:right="15"/>
        <w:jc w:val="both"/>
        <w:rPr>
          <w:rFonts w:ascii="Times New Roman" w:hAnsi="Times New Roman" w:cs="Times New Roman"/>
          <w:sz w:val="24"/>
          <w:szCs w:val="24"/>
          <w:lang w:val="es-ES"/>
        </w:rPr>
      </w:pPr>
      <w:r w:rsidRPr="000207B2">
        <w:rPr>
          <w:rFonts w:cstheme="minorHAnsi"/>
          <w:color w:val="7030A0"/>
          <w:sz w:val="28"/>
          <w:szCs w:val="24"/>
          <w:lang w:val="es-ES"/>
        </w:rPr>
        <w:t>Palabras Claves:</w:t>
      </w:r>
      <w:r>
        <w:rPr>
          <w:rFonts w:ascii="Times New Roman" w:hAnsi="Times New Roman" w:cs="Times New Roman"/>
          <w:sz w:val="24"/>
          <w:szCs w:val="24"/>
          <w:lang w:val="es-ES"/>
        </w:rPr>
        <w:t xml:space="preserve"> buenas prácticas, Bacteriología, Veterinaria</w:t>
      </w:r>
    </w:p>
    <w:p w:rsidR="000207B2" w:rsidRPr="000207B2" w:rsidRDefault="000207B2" w:rsidP="000207B2">
      <w:pPr>
        <w:shd w:val="clear" w:color="auto" w:fill="FFFFFF"/>
        <w:tabs>
          <w:tab w:val="left" w:pos="10065"/>
        </w:tabs>
        <w:spacing w:after="0" w:line="360" w:lineRule="auto"/>
        <w:ind w:right="15"/>
        <w:jc w:val="both"/>
        <w:rPr>
          <w:rFonts w:ascii="Times New Roman" w:hAnsi="Times New Roman" w:cs="Times New Roman"/>
          <w:b/>
          <w:sz w:val="24"/>
          <w:szCs w:val="24"/>
          <w:lang w:val="es-ES"/>
        </w:rPr>
      </w:pPr>
    </w:p>
    <w:p w:rsidR="00B835DD" w:rsidRPr="00B835DD" w:rsidRDefault="00B835DD" w:rsidP="000207B2">
      <w:pPr>
        <w:shd w:val="clear" w:color="auto" w:fill="FFFFFF"/>
        <w:tabs>
          <w:tab w:val="left" w:pos="10065"/>
        </w:tabs>
        <w:spacing w:after="0" w:line="360" w:lineRule="auto"/>
        <w:ind w:right="15"/>
        <w:jc w:val="both"/>
        <w:rPr>
          <w:rFonts w:cstheme="minorHAnsi"/>
          <w:b/>
          <w:sz w:val="24"/>
          <w:szCs w:val="24"/>
          <w:lang w:val="en-US"/>
        </w:rPr>
      </w:pPr>
      <w:r w:rsidRPr="000207B2">
        <w:rPr>
          <w:rFonts w:cstheme="minorHAnsi"/>
          <w:color w:val="7030A0"/>
          <w:sz w:val="28"/>
          <w:szCs w:val="24"/>
          <w:lang w:val="es-ES"/>
        </w:rPr>
        <w:t>Abstract</w:t>
      </w:r>
    </w:p>
    <w:p w:rsidR="00B835DD" w:rsidRDefault="00B835DD" w:rsidP="000207B2">
      <w:pPr>
        <w:shd w:val="clear" w:color="auto" w:fill="FFFFFF"/>
        <w:tabs>
          <w:tab w:val="left" w:pos="10065"/>
        </w:tabs>
        <w:spacing w:after="0" w:line="360" w:lineRule="auto"/>
        <w:ind w:right="15"/>
        <w:jc w:val="both"/>
        <w:rPr>
          <w:rFonts w:ascii="Times New Roman" w:hAnsi="Times New Roman" w:cs="Times New Roman"/>
          <w:sz w:val="24"/>
          <w:szCs w:val="24"/>
          <w:lang w:val="es-ES"/>
        </w:rPr>
      </w:pPr>
      <w:r w:rsidRPr="000207B2">
        <w:rPr>
          <w:rFonts w:ascii="Times New Roman" w:hAnsi="Times New Roman" w:cs="Times New Roman"/>
          <w:sz w:val="24"/>
          <w:szCs w:val="24"/>
          <w:lang w:val="es-ES"/>
        </w:rPr>
        <w:t xml:space="preserve">The implementation of ICT as a teaching support in addition to changing the paradigm of higher education has a significant impact on student learning and strengthening their life skills and the </w:t>
      </w:r>
      <w:proofErr w:type="gramStart"/>
      <w:r w:rsidRPr="000207B2">
        <w:rPr>
          <w:rFonts w:ascii="Times New Roman" w:hAnsi="Times New Roman" w:cs="Times New Roman"/>
          <w:sz w:val="24"/>
          <w:szCs w:val="24"/>
          <w:lang w:val="es-ES"/>
        </w:rPr>
        <w:t>profession .</w:t>
      </w:r>
      <w:proofErr w:type="gramEnd"/>
      <w:r w:rsidRPr="000207B2">
        <w:rPr>
          <w:rFonts w:ascii="Times New Roman" w:hAnsi="Times New Roman" w:cs="Times New Roman"/>
          <w:sz w:val="24"/>
          <w:szCs w:val="24"/>
          <w:lang w:val="es-ES"/>
        </w:rPr>
        <w:t xml:space="preserve"> At the University of Guadalajara Moodle is used as a virtual learning environment. With the aim to evaluate the academic performance through playful activities in the third semester students of the Bachelor of Veterinary Medicine diversified and expanded the content of courses </w:t>
      </w:r>
      <w:proofErr w:type="gramStart"/>
      <w:r w:rsidRPr="000207B2">
        <w:rPr>
          <w:rFonts w:ascii="Times New Roman" w:hAnsi="Times New Roman" w:cs="Times New Roman"/>
          <w:sz w:val="24"/>
          <w:szCs w:val="24"/>
          <w:lang w:val="es-ES"/>
        </w:rPr>
        <w:t>online ;</w:t>
      </w:r>
      <w:proofErr w:type="gramEnd"/>
      <w:r w:rsidRPr="000207B2">
        <w:rPr>
          <w:rFonts w:ascii="Times New Roman" w:hAnsi="Times New Roman" w:cs="Times New Roman"/>
          <w:sz w:val="24"/>
          <w:szCs w:val="24"/>
          <w:lang w:val="es-ES"/>
        </w:rPr>
        <w:t xml:space="preserve"> games and exercises for this as </w:t>
      </w:r>
      <w:proofErr w:type="spellStart"/>
      <w:r w:rsidRPr="000207B2">
        <w:rPr>
          <w:rFonts w:ascii="Times New Roman" w:hAnsi="Times New Roman" w:cs="Times New Roman"/>
          <w:sz w:val="24"/>
          <w:szCs w:val="24"/>
          <w:lang w:val="es-ES"/>
        </w:rPr>
        <w:t>wordsearch</w:t>
      </w:r>
      <w:proofErr w:type="spellEnd"/>
      <w:r w:rsidRPr="000207B2">
        <w:rPr>
          <w:rFonts w:ascii="Times New Roman" w:hAnsi="Times New Roman" w:cs="Times New Roman"/>
          <w:sz w:val="24"/>
          <w:szCs w:val="24"/>
          <w:lang w:val="es-ES"/>
        </w:rPr>
        <w:t xml:space="preserve"> , crosswords , match figures illustrate maps and answer riddles were designed ; All these activities were designed with disciplinary knowledge and stayed in the Moodle platform. Two groups of students in the subject of Veterinary </w:t>
      </w:r>
      <w:proofErr w:type="gramStart"/>
      <w:r w:rsidRPr="000207B2">
        <w:rPr>
          <w:rFonts w:ascii="Times New Roman" w:hAnsi="Times New Roman" w:cs="Times New Roman"/>
          <w:sz w:val="24"/>
          <w:szCs w:val="24"/>
          <w:lang w:val="es-ES"/>
        </w:rPr>
        <w:t>Bacteriology ,</w:t>
      </w:r>
      <w:proofErr w:type="gramEnd"/>
      <w:r w:rsidRPr="000207B2">
        <w:rPr>
          <w:rFonts w:ascii="Times New Roman" w:hAnsi="Times New Roman" w:cs="Times New Roman"/>
          <w:sz w:val="24"/>
          <w:szCs w:val="24"/>
          <w:lang w:val="es-ES"/>
        </w:rPr>
        <w:t xml:space="preserve"> one of them leaned on the Moodle platform and made the playful exercises , while the other was used as a control group being imparted the subject fully in person were used. The activities were </w:t>
      </w:r>
      <w:proofErr w:type="gramStart"/>
      <w:r w:rsidRPr="000207B2">
        <w:rPr>
          <w:rFonts w:ascii="Times New Roman" w:hAnsi="Times New Roman" w:cs="Times New Roman"/>
          <w:sz w:val="24"/>
          <w:szCs w:val="24"/>
          <w:lang w:val="es-ES"/>
        </w:rPr>
        <w:t>fun ,</w:t>
      </w:r>
      <w:proofErr w:type="gramEnd"/>
      <w:r w:rsidRPr="000207B2">
        <w:rPr>
          <w:rFonts w:ascii="Times New Roman" w:hAnsi="Times New Roman" w:cs="Times New Roman"/>
          <w:sz w:val="24"/>
          <w:szCs w:val="24"/>
          <w:lang w:val="es-ES"/>
        </w:rPr>
        <w:t xml:space="preserve"> motivated students , gave them confidence , decreased their fear of mistake and facilitated the understanding of concepts. Learning was measured by applying the same assessment instruments. Ratings increased significantly by 12.56 % in the students supported virtual learning environment and development of recreational </w:t>
      </w:r>
      <w:proofErr w:type="gramStart"/>
      <w:r w:rsidRPr="000207B2">
        <w:rPr>
          <w:rFonts w:ascii="Times New Roman" w:hAnsi="Times New Roman" w:cs="Times New Roman"/>
          <w:sz w:val="24"/>
          <w:szCs w:val="24"/>
          <w:lang w:val="es-ES"/>
        </w:rPr>
        <w:t>activities .</w:t>
      </w:r>
      <w:proofErr w:type="gramEnd"/>
      <w:r w:rsidRPr="000207B2">
        <w:rPr>
          <w:rFonts w:ascii="Times New Roman" w:hAnsi="Times New Roman" w:cs="Times New Roman"/>
          <w:sz w:val="24"/>
          <w:szCs w:val="24"/>
          <w:lang w:val="es-ES"/>
        </w:rPr>
        <w:t xml:space="preserve"> Based on these results it is considered important to continue with the use of Moodle and activities such as teaching support as an important strategy for </w:t>
      </w:r>
      <w:proofErr w:type="spellStart"/>
      <w:r w:rsidRPr="000207B2">
        <w:rPr>
          <w:rFonts w:ascii="Times New Roman" w:hAnsi="Times New Roman" w:cs="Times New Roman"/>
          <w:sz w:val="24"/>
          <w:szCs w:val="24"/>
          <w:lang w:val="es-ES"/>
        </w:rPr>
        <w:t>t</w:t>
      </w:r>
      <w:r w:rsidR="000207B2">
        <w:rPr>
          <w:rFonts w:ascii="Times New Roman" w:hAnsi="Times New Roman" w:cs="Times New Roman"/>
          <w:sz w:val="24"/>
          <w:szCs w:val="24"/>
          <w:lang w:val="es-ES"/>
        </w:rPr>
        <w:t>eaching</w:t>
      </w:r>
      <w:proofErr w:type="spellEnd"/>
      <w:r w:rsidR="000207B2">
        <w:rPr>
          <w:rFonts w:ascii="Times New Roman" w:hAnsi="Times New Roman" w:cs="Times New Roman"/>
          <w:sz w:val="24"/>
          <w:szCs w:val="24"/>
          <w:lang w:val="es-ES"/>
        </w:rPr>
        <w:t xml:space="preserve"> </w:t>
      </w:r>
      <w:proofErr w:type="spellStart"/>
      <w:r w:rsidR="000207B2">
        <w:rPr>
          <w:rFonts w:ascii="Times New Roman" w:hAnsi="Times New Roman" w:cs="Times New Roman"/>
          <w:sz w:val="24"/>
          <w:szCs w:val="24"/>
          <w:lang w:val="es-ES"/>
        </w:rPr>
        <w:t>science</w:t>
      </w:r>
      <w:proofErr w:type="spellEnd"/>
      <w:r w:rsidR="000207B2">
        <w:rPr>
          <w:rFonts w:ascii="Times New Roman" w:hAnsi="Times New Roman" w:cs="Times New Roman"/>
          <w:sz w:val="24"/>
          <w:szCs w:val="24"/>
          <w:lang w:val="es-ES"/>
        </w:rPr>
        <w:t xml:space="preserve"> as </w:t>
      </w:r>
      <w:proofErr w:type="spellStart"/>
      <w:r w:rsidR="000207B2">
        <w:rPr>
          <w:rFonts w:ascii="Times New Roman" w:hAnsi="Times New Roman" w:cs="Times New Roman"/>
          <w:sz w:val="24"/>
          <w:szCs w:val="24"/>
          <w:lang w:val="es-ES"/>
        </w:rPr>
        <w:t>Bacteriology</w:t>
      </w:r>
      <w:proofErr w:type="spellEnd"/>
      <w:r w:rsidRPr="000207B2">
        <w:rPr>
          <w:rFonts w:ascii="Times New Roman" w:hAnsi="Times New Roman" w:cs="Times New Roman"/>
          <w:sz w:val="24"/>
          <w:szCs w:val="24"/>
          <w:lang w:val="es-ES"/>
        </w:rPr>
        <w:t xml:space="preserve">. </w:t>
      </w:r>
    </w:p>
    <w:p w:rsidR="000207B2" w:rsidRDefault="000207B2" w:rsidP="000207B2">
      <w:pPr>
        <w:shd w:val="clear" w:color="auto" w:fill="FFFFFF"/>
        <w:tabs>
          <w:tab w:val="left" w:pos="10065"/>
        </w:tabs>
        <w:spacing w:after="0" w:line="360" w:lineRule="auto"/>
        <w:ind w:right="15"/>
        <w:jc w:val="both"/>
        <w:rPr>
          <w:rFonts w:ascii="Times New Roman" w:hAnsi="Times New Roman" w:cs="Times New Roman"/>
          <w:sz w:val="24"/>
          <w:szCs w:val="24"/>
          <w:lang w:val="es-ES"/>
        </w:rPr>
      </w:pPr>
    </w:p>
    <w:p w:rsidR="000207B2" w:rsidRPr="00B835DD" w:rsidRDefault="000207B2" w:rsidP="000207B2">
      <w:pPr>
        <w:shd w:val="clear" w:color="auto" w:fill="FFFFFF"/>
        <w:tabs>
          <w:tab w:val="left" w:pos="10065"/>
        </w:tabs>
        <w:spacing w:after="0" w:line="360" w:lineRule="auto"/>
        <w:ind w:right="15"/>
        <w:jc w:val="both"/>
        <w:rPr>
          <w:rFonts w:cstheme="minorHAnsi"/>
          <w:sz w:val="24"/>
          <w:szCs w:val="24"/>
          <w:lang w:val="en-US"/>
        </w:rPr>
      </w:pPr>
      <w:r w:rsidRPr="000207B2">
        <w:rPr>
          <w:rFonts w:cstheme="minorHAnsi"/>
          <w:color w:val="7030A0"/>
          <w:sz w:val="28"/>
          <w:szCs w:val="24"/>
        </w:rPr>
        <w:t xml:space="preserve">Key </w:t>
      </w:r>
      <w:proofErr w:type="spellStart"/>
      <w:r w:rsidRPr="000207B2">
        <w:rPr>
          <w:rFonts w:cstheme="minorHAnsi"/>
          <w:color w:val="7030A0"/>
          <w:sz w:val="28"/>
          <w:szCs w:val="24"/>
        </w:rPr>
        <w:t>words</w:t>
      </w:r>
      <w:proofErr w:type="spellEnd"/>
      <w:r w:rsidRPr="000207B2">
        <w:rPr>
          <w:rFonts w:cstheme="minorHAnsi"/>
          <w:color w:val="7030A0"/>
          <w:sz w:val="28"/>
          <w:szCs w:val="24"/>
        </w:rPr>
        <w:t>:</w:t>
      </w:r>
      <w:r>
        <w:rPr>
          <w:rFonts w:ascii="Times New Roman" w:hAnsi="Times New Roman" w:cs="Times New Roman"/>
          <w:sz w:val="24"/>
          <w:szCs w:val="24"/>
          <w:lang w:val="es-ES"/>
        </w:rPr>
        <w:t xml:space="preserve"> </w:t>
      </w:r>
      <w:proofErr w:type="spellStart"/>
      <w:r w:rsidRPr="000207B2">
        <w:rPr>
          <w:rFonts w:ascii="Times New Roman" w:hAnsi="Times New Roman" w:cs="Times New Roman"/>
          <w:sz w:val="24"/>
          <w:szCs w:val="24"/>
          <w:lang w:val="es-ES"/>
        </w:rPr>
        <w:t>good</w:t>
      </w:r>
      <w:proofErr w:type="spellEnd"/>
      <w:r w:rsidRPr="000207B2">
        <w:rPr>
          <w:rFonts w:ascii="Times New Roman" w:hAnsi="Times New Roman" w:cs="Times New Roman"/>
          <w:sz w:val="24"/>
          <w:szCs w:val="24"/>
          <w:lang w:val="es-ES"/>
        </w:rPr>
        <w:t xml:space="preserve"> </w:t>
      </w:r>
      <w:proofErr w:type="spellStart"/>
      <w:r w:rsidRPr="000207B2">
        <w:rPr>
          <w:rFonts w:ascii="Times New Roman" w:hAnsi="Times New Roman" w:cs="Times New Roman"/>
          <w:sz w:val="24"/>
          <w:szCs w:val="24"/>
          <w:lang w:val="es-ES"/>
        </w:rPr>
        <w:t>practices</w:t>
      </w:r>
      <w:proofErr w:type="spellEnd"/>
      <w:r w:rsidRPr="000207B2">
        <w:rPr>
          <w:rFonts w:ascii="Times New Roman" w:hAnsi="Times New Roman" w:cs="Times New Roman"/>
          <w:sz w:val="24"/>
          <w:szCs w:val="24"/>
          <w:lang w:val="es-ES"/>
        </w:rPr>
        <w:t xml:space="preserve">, </w:t>
      </w:r>
      <w:proofErr w:type="spellStart"/>
      <w:r w:rsidRPr="000207B2">
        <w:rPr>
          <w:rFonts w:ascii="Times New Roman" w:hAnsi="Times New Roman" w:cs="Times New Roman"/>
          <w:sz w:val="24"/>
          <w:szCs w:val="24"/>
          <w:lang w:val="es-ES"/>
        </w:rPr>
        <w:t>Bacteriology</w:t>
      </w:r>
      <w:proofErr w:type="spellEnd"/>
      <w:r w:rsidRPr="000207B2">
        <w:rPr>
          <w:rFonts w:ascii="Times New Roman" w:hAnsi="Times New Roman" w:cs="Times New Roman"/>
          <w:sz w:val="24"/>
          <w:szCs w:val="24"/>
          <w:lang w:val="es-ES"/>
        </w:rPr>
        <w:t xml:space="preserve">, </w:t>
      </w:r>
      <w:proofErr w:type="spellStart"/>
      <w:r w:rsidRPr="000207B2">
        <w:rPr>
          <w:rFonts w:ascii="Times New Roman" w:hAnsi="Times New Roman" w:cs="Times New Roman"/>
          <w:sz w:val="24"/>
          <w:szCs w:val="24"/>
          <w:lang w:val="es-ES"/>
        </w:rPr>
        <w:t>Veterinary</w:t>
      </w:r>
      <w:proofErr w:type="spellEnd"/>
    </w:p>
    <w:p w:rsidR="000207B2" w:rsidRPr="009F3793" w:rsidRDefault="000207B2" w:rsidP="000207B2">
      <w:pPr>
        <w:spacing w:line="360" w:lineRule="auto"/>
        <w:jc w:val="both"/>
        <w:rPr>
          <w:rFonts w:cstheme="minorHAnsi"/>
          <w:bCs/>
          <w:color w:val="7030A0"/>
          <w:sz w:val="28"/>
          <w:szCs w:val="28"/>
        </w:rPr>
      </w:pPr>
      <w:proofErr w:type="spellStart"/>
      <w:r w:rsidRPr="000207B2">
        <w:rPr>
          <w:rFonts w:ascii="Times New Roman" w:hAnsi="Times New Roman" w:cs="Times New Roman"/>
          <w:b/>
          <w:sz w:val="24"/>
          <w:lang w:val="en-US"/>
        </w:rPr>
        <w:lastRenderedPageBreak/>
        <w:t>Fecha</w:t>
      </w:r>
      <w:proofErr w:type="spellEnd"/>
      <w:r w:rsidRPr="000207B2">
        <w:rPr>
          <w:rFonts w:ascii="Times New Roman" w:hAnsi="Times New Roman" w:cs="Times New Roman"/>
          <w:b/>
          <w:sz w:val="24"/>
          <w:lang w:val="en-US"/>
        </w:rPr>
        <w:t xml:space="preserve"> </w:t>
      </w:r>
      <w:proofErr w:type="spellStart"/>
      <w:r w:rsidRPr="000207B2">
        <w:rPr>
          <w:rFonts w:ascii="Times New Roman" w:hAnsi="Times New Roman" w:cs="Times New Roman"/>
          <w:b/>
          <w:sz w:val="24"/>
          <w:lang w:val="en-US"/>
        </w:rPr>
        <w:t>recepción</w:t>
      </w:r>
      <w:proofErr w:type="spellEnd"/>
      <w:r w:rsidRPr="000207B2">
        <w:rPr>
          <w:rFonts w:ascii="Times New Roman" w:hAnsi="Times New Roman" w:cs="Times New Roman"/>
          <w:b/>
          <w:sz w:val="24"/>
          <w:lang w:val="en-US"/>
        </w:rPr>
        <w:t>:</w:t>
      </w:r>
      <w:r w:rsidRPr="000207B2">
        <w:rPr>
          <w:rFonts w:ascii="Times New Roman" w:hAnsi="Times New Roman" w:cs="Times New Roman"/>
          <w:sz w:val="24"/>
          <w:lang w:val="en-US"/>
        </w:rPr>
        <w:t xml:space="preserve">   </w:t>
      </w:r>
      <w:proofErr w:type="spellStart"/>
      <w:r>
        <w:rPr>
          <w:rFonts w:ascii="Times New Roman" w:hAnsi="Times New Roman" w:cs="Times New Roman"/>
          <w:sz w:val="24"/>
          <w:lang w:val="en-US"/>
        </w:rPr>
        <w:t>Febrero</w:t>
      </w:r>
      <w:proofErr w:type="spellEnd"/>
      <w:r w:rsidRPr="000207B2">
        <w:rPr>
          <w:rFonts w:ascii="Times New Roman" w:hAnsi="Times New Roman" w:cs="Times New Roman"/>
          <w:sz w:val="24"/>
          <w:lang w:val="en-US"/>
        </w:rPr>
        <w:t xml:space="preserve"> 2013          </w:t>
      </w:r>
      <w:proofErr w:type="spellStart"/>
      <w:r w:rsidRPr="000207B2">
        <w:rPr>
          <w:rFonts w:ascii="Times New Roman" w:hAnsi="Times New Roman" w:cs="Times New Roman"/>
          <w:b/>
          <w:sz w:val="24"/>
          <w:lang w:val="en-US"/>
        </w:rPr>
        <w:t>Fecha</w:t>
      </w:r>
      <w:proofErr w:type="spellEnd"/>
      <w:r w:rsidRPr="000207B2">
        <w:rPr>
          <w:rFonts w:ascii="Times New Roman" w:hAnsi="Times New Roman" w:cs="Times New Roman"/>
          <w:b/>
          <w:sz w:val="24"/>
          <w:lang w:val="en-US"/>
        </w:rPr>
        <w:t xml:space="preserve"> </w:t>
      </w:r>
      <w:proofErr w:type="spellStart"/>
      <w:r w:rsidRPr="000207B2">
        <w:rPr>
          <w:rFonts w:ascii="Times New Roman" w:hAnsi="Times New Roman" w:cs="Times New Roman"/>
          <w:b/>
          <w:sz w:val="24"/>
          <w:lang w:val="en-US"/>
        </w:rPr>
        <w:t>aceptación</w:t>
      </w:r>
      <w:proofErr w:type="spellEnd"/>
      <w:r w:rsidRPr="000207B2">
        <w:rPr>
          <w:rFonts w:ascii="Times New Roman" w:hAnsi="Times New Roman" w:cs="Times New Roman"/>
          <w:b/>
          <w:sz w:val="24"/>
          <w:lang w:val="en-US"/>
        </w:rPr>
        <w:t>:</w:t>
      </w:r>
      <w:r w:rsidRPr="000207B2">
        <w:rPr>
          <w:rFonts w:ascii="Times New Roman" w:hAnsi="Times New Roman" w:cs="Times New Roman"/>
          <w:sz w:val="24"/>
          <w:lang w:val="en-US"/>
        </w:rPr>
        <w:t xml:space="preserve"> </w:t>
      </w:r>
      <w:r>
        <w:rPr>
          <w:rFonts w:ascii="Times New Roman" w:hAnsi="Times New Roman" w:cs="Times New Roman"/>
          <w:sz w:val="24"/>
          <w:lang w:val="en-US"/>
        </w:rPr>
        <w:t>Abril 2014</w:t>
      </w:r>
      <w:r>
        <w:rPr>
          <w:rFonts w:cstheme="minorHAnsi"/>
        </w:rPr>
        <w:pict>
          <v:rect id="_x0000_i1025" style="width:0;height:1.5pt" o:hralign="center" o:hrstd="t" o:hr="t" fillcolor="#a0a0a0" stroked="f"/>
        </w:pict>
      </w:r>
    </w:p>
    <w:p w:rsidR="00B835DD" w:rsidRDefault="00B835DD" w:rsidP="00B835DD">
      <w:pPr>
        <w:shd w:val="clear" w:color="auto" w:fill="FFFFFF"/>
        <w:spacing w:after="0" w:line="360" w:lineRule="auto"/>
        <w:ind w:left="709" w:right="1183"/>
        <w:jc w:val="both"/>
        <w:rPr>
          <w:rFonts w:cstheme="minorHAnsi"/>
          <w:sz w:val="24"/>
          <w:szCs w:val="24"/>
          <w:lang w:val="en-US"/>
        </w:rPr>
      </w:pPr>
    </w:p>
    <w:p w:rsidR="000207B2" w:rsidRPr="00B835DD" w:rsidRDefault="000207B2" w:rsidP="00B835DD">
      <w:pPr>
        <w:shd w:val="clear" w:color="auto" w:fill="FFFFFF"/>
        <w:spacing w:after="0" w:line="360" w:lineRule="auto"/>
        <w:ind w:left="709" w:right="1183"/>
        <w:jc w:val="both"/>
        <w:rPr>
          <w:rFonts w:cstheme="minorHAnsi"/>
          <w:sz w:val="24"/>
          <w:szCs w:val="24"/>
          <w:lang w:val="en-US"/>
        </w:rPr>
      </w:pPr>
    </w:p>
    <w:p w:rsidR="00B835DD" w:rsidRPr="00B835DD" w:rsidRDefault="00B835DD" w:rsidP="00B835DD">
      <w:pPr>
        <w:shd w:val="clear" w:color="auto" w:fill="FFFFFF"/>
        <w:spacing w:after="0" w:line="360" w:lineRule="auto"/>
        <w:jc w:val="both"/>
        <w:rPr>
          <w:rFonts w:cstheme="minorHAnsi"/>
          <w:color w:val="7030A0"/>
          <w:sz w:val="28"/>
          <w:szCs w:val="24"/>
        </w:rPr>
      </w:pPr>
      <w:r w:rsidRPr="00B835DD">
        <w:rPr>
          <w:rFonts w:cstheme="minorHAnsi"/>
          <w:color w:val="7030A0"/>
          <w:sz w:val="28"/>
          <w:szCs w:val="24"/>
        </w:rPr>
        <w:t>Introducción</w:t>
      </w:r>
    </w:p>
    <w:p w:rsidR="00B835DD" w:rsidRPr="000207B2" w:rsidRDefault="00B835DD" w:rsidP="000207B2">
      <w:pPr>
        <w:shd w:val="clear" w:color="auto" w:fill="FFFFFF"/>
        <w:spacing w:after="0" w:line="360" w:lineRule="auto"/>
        <w:jc w:val="both"/>
        <w:rPr>
          <w:rFonts w:ascii="Times New Roman" w:hAnsi="Times New Roman" w:cs="Times New Roman"/>
          <w:sz w:val="24"/>
          <w:szCs w:val="24"/>
          <w:lang w:val="es-ES"/>
        </w:rPr>
      </w:pPr>
      <w:r w:rsidRPr="000207B2">
        <w:rPr>
          <w:rFonts w:ascii="Times New Roman" w:hAnsi="Times New Roman" w:cs="Times New Roman"/>
          <w:sz w:val="24"/>
          <w:szCs w:val="24"/>
          <w:lang w:val="es-ES"/>
        </w:rPr>
        <w:t xml:space="preserve">En el Siglo XXI, tras la globalización, la tendencia de las instituciones educativas son el aprendizaje significativo y basado en el estudiante y la implementación del modelo educativo basado en competencias profesionales. De ahí que estas instituciones se comprometan a impulsar los cambios y adaptaciones al interior de sus estructuras que permitan la adquisición y desarrollo de competencias necesarias para el futuro desempeño profesional. La Universidad de Guadalajara acorde a estos cambios, ha incorporado las tecnologías necesarias para facilitar el aprendizaje significativo en los estudiantes. Para ello se implementaron estrategias de formación docente con la finalidad de que se empleen las Tecnologías de la Información y Comunicación (TIC) en la práctica académica y se propicien la responsabilidad, el compromiso y el aprendizaje activo, integral y continuo.  Una de estas acciones fue la implementación de cursos en línea mediante el uso de la plataforma Moodle, que es una aplicación de la web empleada como un ambiente virtual de aprendizaje y en donde se hospedan contenidos, se administra la información y las actividades y permite la interacción entre los docentes y los alumnos de manera simultánea y en tiempo real. </w:t>
      </w:r>
    </w:p>
    <w:p w:rsidR="00B835DD" w:rsidRPr="000207B2" w:rsidRDefault="00B835DD" w:rsidP="000207B2">
      <w:pPr>
        <w:shd w:val="clear" w:color="auto" w:fill="FFFFFF"/>
        <w:spacing w:after="0" w:line="360" w:lineRule="auto"/>
        <w:jc w:val="both"/>
        <w:rPr>
          <w:rFonts w:ascii="Times New Roman" w:hAnsi="Times New Roman" w:cs="Times New Roman"/>
          <w:sz w:val="24"/>
          <w:szCs w:val="24"/>
          <w:lang w:val="es-ES"/>
        </w:rPr>
      </w:pPr>
    </w:p>
    <w:p w:rsidR="00B835DD" w:rsidRPr="000207B2" w:rsidRDefault="00B835DD" w:rsidP="000207B2">
      <w:pPr>
        <w:shd w:val="clear" w:color="auto" w:fill="FFFFFF"/>
        <w:spacing w:after="0" w:line="360" w:lineRule="auto"/>
        <w:jc w:val="both"/>
        <w:rPr>
          <w:rFonts w:ascii="Times New Roman" w:hAnsi="Times New Roman" w:cs="Times New Roman"/>
          <w:sz w:val="24"/>
          <w:szCs w:val="24"/>
          <w:lang w:val="es-ES"/>
        </w:rPr>
      </w:pPr>
      <w:r w:rsidRPr="000207B2">
        <w:rPr>
          <w:rFonts w:ascii="Times New Roman" w:hAnsi="Times New Roman" w:cs="Times New Roman"/>
          <w:sz w:val="24"/>
          <w:szCs w:val="24"/>
          <w:lang w:val="es-ES"/>
        </w:rPr>
        <w:t>En el Centro Universitario de Ciencias Biológicas y Agropecuarias  (CUCBA) de la Universidad de Guadalajara, se emplea Moodle como herramienta de apoyo para que los docentes comprometidos con el aprendizaje de los estudiantes complementen sus actividades académicas presenciales.  Además permite desarrollar las habilidades digitales tanto en los profesores como en los estudiantes y coadyuvar para que los alumnos adquieran las competencias establecidas en su perfil profesional.</w:t>
      </w:r>
    </w:p>
    <w:p w:rsidR="00B835DD" w:rsidRPr="000207B2" w:rsidRDefault="00B835DD" w:rsidP="000207B2">
      <w:pPr>
        <w:spacing w:after="0" w:line="360" w:lineRule="auto"/>
        <w:jc w:val="both"/>
        <w:rPr>
          <w:rFonts w:ascii="Times New Roman" w:hAnsi="Times New Roman" w:cs="Times New Roman"/>
          <w:sz w:val="24"/>
          <w:szCs w:val="24"/>
          <w:lang w:val="es-ES"/>
        </w:rPr>
      </w:pPr>
    </w:p>
    <w:p w:rsidR="00B835DD" w:rsidRPr="000207B2" w:rsidRDefault="00B835DD" w:rsidP="000207B2">
      <w:pPr>
        <w:spacing w:after="0" w:line="360" w:lineRule="auto"/>
        <w:jc w:val="both"/>
        <w:rPr>
          <w:rFonts w:ascii="Times New Roman" w:hAnsi="Times New Roman" w:cs="Times New Roman"/>
          <w:sz w:val="24"/>
          <w:szCs w:val="24"/>
          <w:lang w:val="es-ES"/>
        </w:rPr>
      </w:pPr>
      <w:r w:rsidRPr="000207B2">
        <w:rPr>
          <w:rFonts w:ascii="Times New Roman" w:hAnsi="Times New Roman" w:cs="Times New Roman"/>
          <w:sz w:val="24"/>
          <w:szCs w:val="24"/>
          <w:lang w:val="es-ES"/>
        </w:rPr>
        <w:t xml:space="preserve">La Bacteriología Veterinaria es una asignatura que se caracteriza por un elevado contenido de información teórica como clasificación taxonómica, características y enfermedades que producen las bacterias. Los animales domésticos susceptibles y las técnicas de identificación de ésta, todo </w:t>
      </w:r>
      <w:r w:rsidRPr="000207B2">
        <w:rPr>
          <w:rFonts w:ascii="Times New Roman" w:hAnsi="Times New Roman" w:cs="Times New Roman"/>
          <w:sz w:val="24"/>
          <w:szCs w:val="24"/>
          <w:lang w:val="es-ES"/>
        </w:rPr>
        <w:lastRenderedPageBreak/>
        <w:t>ello implica memorización,  y el aprendizaje de términos y conceptos totalmente nuevos, todo ello resulta difícil y poco motivador para los estudiantes de tercer semestre, nivel en que se imparte.</w:t>
      </w:r>
    </w:p>
    <w:p w:rsidR="00B835DD" w:rsidRPr="000207B2" w:rsidRDefault="00B835DD" w:rsidP="000207B2">
      <w:pPr>
        <w:spacing w:after="0" w:line="360" w:lineRule="auto"/>
        <w:jc w:val="both"/>
        <w:rPr>
          <w:rFonts w:ascii="Times New Roman" w:hAnsi="Times New Roman" w:cs="Times New Roman"/>
          <w:b/>
          <w:sz w:val="24"/>
          <w:szCs w:val="24"/>
        </w:rPr>
      </w:pPr>
    </w:p>
    <w:p w:rsidR="00B835DD" w:rsidRPr="000207B2" w:rsidRDefault="00B835DD" w:rsidP="000207B2">
      <w:pPr>
        <w:spacing w:after="0" w:line="360" w:lineRule="auto"/>
        <w:jc w:val="both"/>
        <w:rPr>
          <w:rFonts w:ascii="Times New Roman" w:hAnsi="Times New Roman" w:cs="Times New Roman"/>
          <w:b/>
          <w:sz w:val="24"/>
          <w:szCs w:val="24"/>
        </w:rPr>
      </w:pPr>
      <w:r w:rsidRPr="000207B2">
        <w:rPr>
          <w:rFonts w:ascii="Times New Roman" w:hAnsi="Times New Roman" w:cs="Times New Roman"/>
          <w:b/>
          <w:sz w:val="24"/>
          <w:szCs w:val="24"/>
        </w:rPr>
        <w:t>TEORÍA</w:t>
      </w:r>
    </w:p>
    <w:p w:rsidR="00B835DD" w:rsidRPr="000207B2" w:rsidRDefault="00B835DD" w:rsidP="000207B2">
      <w:pPr>
        <w:spacing w:after="0" w:line="360" w:lineRule="auto"/>
        <w:jc w:val="both"/>
        <w:rPr>
          <w:rFonts w:ascii="Times New Roman" w:hAnsi="Times New Roman" w:cs="Times New Roman"/>
          <w:b/>
          <w:sz w:val="24"/>
          <w:szCs w:val="24"/>
        </w:rPr>
      </w:pPr>
    </w:p>
    <w:p w:rsidR="00B835DD" w:rsidRPr="000207B2" w:rsidRDefault="00B835DD" w:rsidP="000207B2">
      <w:pPr>
        <w:shd w:val="clear" w:color="auto" w:fill="FFFFFF"/>
        <w:spacing w:after="0" w:line="360" w:lineRule="auto"/>
        <w:jc w:val="both"/>
        <w:rPr>
          <w:rFonts w:ascii="Times New Roman" w:hAnsi="Times New Roman" w:cs="Times New Roman"/>
          <w:sz w:val="24"/>
          <w:szCs w:val="24"/>
          <w:lang w:val="es-ES"/>
        </w:rPr>
      </w:pPr>
      <w:r w:rsidRPr="000207B2">
        <w:rPr>
          <w:rFonts w:ascii="Times New Roman" w:hAnsi="Times New Roman" w:cs="Times New Roman"/>
          <w:sz w:val="24"/>
          <w:szCs w:val="24"/>
          <w:lang w:val="es-ES"/>
        </w:rPr>
        <w:t>Las actividades de enseñanza aprendizaje pueden ser influenciados por diversos factores tecnológicos, políticos y sociales. Uno factor tecnológico es el empleo de las TIC ya que motiva a los alumnos y capta su atención, en las Instituciones de educación superior es un elemento de innovación didáctica que se aplica para ayudar a que los estudiantes aprendan mejor (</w:t>
      </w:r>
      <w:proofErr w:type="spellStart"/>
      <w:r w:rsidRPr="000207B2">
        <w:rPr>
          <w:rFonts w:ascii="Times New Roman" w:hAnsi="Times New Roman" w:cs="Times New Roman"/>
          <w:sz w:val="24"/>
          <w:szCs w:val="24"/>
          <w:lang w:val="es-ES"/>
        </w:rPr>
        <w:t>Badía</w:t>
      </w:r>
      <w:proofErr w:type="spellEnd"/>
      <w:r w:rsidRPr="000207B2">
        <w:rPr>
          <w:rFonts w:ascii="Times New Roman" w:hAnsi="Times New Roman" w:cs="Times New Roman"/>
          <w:sz w:val="24"/>
          <w:szCs w:val="24"/>
          <w:lang w:val="es-ES"/>
        </w:rPr>
        <w:t>, 2006).</w:t>
      </w:r>
    </w:p>
    <w:p w:rsidR="00B835DD" w:rsidRPr="000207B2" w:rsidRDefault="00B835DD" w:rsidP="000207B2">
      <w:pPr>
        <w:shd w:val="clear" w:color="auto" w:fill="FFFFFF"/>
        <w:spacing w:after="0" w:line="360" w:lineRule="auto"/>
        <w:jc w:val="both"/>
        <w:rPr>
          <w:rFonts w:ascii="Times New Roman" w:hAnsi="Times New Roman" w:cs="Times New Roman"/>
          <w:sz w:val="24"/>
          <w:szCs w:val="24"/>
          <w:lang w:val="es-ES"/>
        </w:rPr>
      </w:pPr>
    </w:p>
    <w:p w:rsidR="00B835DD" w:rsidRPr="000207B2" w:rsidRDefault="00B835DD" w:rsidP="000207B2">
      <w:pPr>
        <w:shd w:val="clear" w:color="auto" w:fill="FFFFFF"/>
        <w:spacing w:after="0" w:line="360" w:lineRule="auto"/>
        <w:jc w:val="both"/>
        <w:rPr>
          <w:rFonts w:ascii="Times New Roman" w:hAnsi="Times New Roman" w:cs="Times New Roman"/>
          <w:sz w:val="24"/>
          <w:szCs w:val="24"/>
          <w:lang w:val="es-ES"/>
        </w:rPr>
      </w:pPr>
      <w:r w:rsidRPr="000207B2">
        <w:rPr>
          <w:rFonts w:ascii="Times New Roman" w:hAnsi="Times New Roman" w:cs="Times New Roman"/>
          <w:sz w:val="24"/>
          <w:szCs w:val="24"/>
          <w:lang w:val="es-ES"/>
        </w:rPr>
        <w:t xml:space="preserve">El aprendizaje significativo se manifiesta cuando los estudiantes interrelacionan su conocimiento previo con los contenidos nuevos y desarrolla un proceso constructivo como consecuencia de ello (Ferro, 2009).  Una forma de motivar el aprendizaje activo es mediante el juego ya que con ello se contribuye a fomentar el tiempo y el interés en participar. </w:t>
      </w:r>
    </w:p>
    <w:p w:rsidR="00B835DD" w:rsidRPr="000207B2" w:rsidRDefault="00B835DD" w:rsidP="000207B2">
      <w:pPr>
        <w:shd w:val="clear" w:color="auto" w:fill="FFFFFF"/>
        <w:spacing w:after="0" w:line="360" w:lineRule="auto"/>
        <w:jc w:val="both"/>
        <w:rPr>
          <w:rFonts w:ascii="Times New Roman" w:hAnsi="Times New Roman" w:cs="Times New Roman"/>
          <w:sz w:val="24"/>
          <w:szCs w:val="24"/>
          <w:lang w:val="es-ES"/>
        </w:rPr>
      </w:pPr>
    </w:p>
    <w:p w:rsidR="00B835DD" w:rsidRPr="000207B2" w:rsidRDefault="00B835DD" w:rsidP="000207B2">
      <w:pPr>
        <w:shd w:val="clear" w:color="auto" w:fill="FFFFFF"/>
        <w:spacing w:after="0" w:line="360" w:lineRule="auto"/>
        <w:jc w:val="both"/>
        <w:rPr>
          <w:rFonts w:ascii="Times New Roman" w:hAnsi="Times New Roman" w:cs="Times New Roman"/>
          <w:sz w:val="24"/>
          <w:szCs w:val="24"/>
          <w:lang w:val="es-ES"/>
        </w:rPr>
      </w:pPr>
      <w:r w:rsidRPr="000207B2">
        <w:rPr>
          <w:rFonts w:ascii="Times New Roman" w:hAnsi="Times New Roman" w:cs="Times New Roman"/>
          <w:sz w:val="24"/>
          <w:szCs w:val="24"/>
          <w:lang w:val="es-ES"/>
        </w:rPr>
        <w:t xml:space="preserve">Vygotsky, establece que el juego facilita la transformación experiencias adquiridas de manera incipiente e inmadura a otras firmes y permanentes. Considera que el origen y fondo del juego son fenómenos de tipo social y un elemento fundamental para desarrollar actividades lúdicas que cumplen con dos fines, el aprendizaje y el reforzamiento de las relaciones entre los alumnos y su entorno. </w:t>
      </w:r>
    </w:p>
    <w:p w:rsidR="00B835DD" w:rsidRPr="000207B2" w:rsidRDefault="00B835DD" w:rsidP="000207B2">
      <w:pPr>
        <w:shd w:val="clear" w:color="auto" w:fill="FFFFFF"/>
        <w:spacing w:after="0" w:line="360" w:lineRule="auto"/>
        <w:jc w:val="both"/>
        <w:rPr>
          <w:rFonts w:ascii="Times New Roman" w:hAnsi="Times New Roman" w:cs="Times New Roman"/>
          <w:sz w:val="24"/>
          <w:szCs w:val="24"/>
          <w:lang w:val="es-ES"/>
        </w:rPr>
      </w:pPr>
    </w:p>
    <w:p w:rsidR="00B835DD" w:rsidRPr="000207B2" w:rsidRDefault="00B835DD" w:rsidP="000207B2">
      <w:pPr>
        <w:shd w:val="clear" w:color="auto" w:fill="FFFFFF"/>
        <w:spacing w:after="0" w:line="360" w:lineRule="auto"/>
        <w:jc w:val="both"/>
        <w:rPr>
          <w:rFonts w:ascii="Times New Roman" w:hAnsi="Times New Roman" w:cs="Times New Roman"/>
          <w:sz w:val="24"/>
          <w:szCs w:val="24"/>
          <w:lang w:val="es-ES"/>
        </w:rPr>
      </w:pPr>
      <w:r w:rsidRPr="000207B2">
        <w:rPr>
          <w:rFonts w:ascii="Times New Roman" w:hAnsi="Times New Roman" w:cs="Times New Roman"/>
          <w:sz w:val="24"/>
          <w:szCs w:val="24"/>
          <w:lang w:val="es-ES"/>
        </w:rPr>
        <w:t>El juego es considerado como una actividad de carácter universal, posee un potencial didáctico y es una herramienta fundamental para facilitar la enseñanza-aprendizaje en o fuera del ámbito escolar, constituye una importante fuente de motivación para aprendizaje significativo en los estudiantes haciendo que estos aprendan en ocasiones sin darse cuenta.</w:t>
      </w:r>
    </w:p>
    <w:p w:rsidR="00B835DD" w:rsidRPr="000207B2" w:rsidRDefault="00B835DD" w:rsidP="000207B2">
      <w:pPr>
        <w:shd w:val="clear" w:color="auto" w:fill="FFFFFF"/>
        <w:spacing w:after="0" w:line="360" w:lineRule="auto"/>
        <w:jc w:val="both"/>
        <w:rPr>
          <w:rFonts w:ascii="Times New Roman" w:hAnsi="Times New Roman" w:cs="Times New Roman"/>
          <w:sz w:val="24"/>
          <w:szCs w:val="24"/>
          <w:lang w:val="es-ES"/>
        </w:rPr>
      </w:pPr>
      <w:r w:rsidRPr="000207B2">
        <w:rPr>
          <w:rFonts w:ascii="Times New Roman" w:hAnsi="Times New Roman" w:cs="Times New Roman"/>
          <w:sz w:val="24"/>
          <w:szCs w:val="24"/>
          <w:lang w:val="es-ES"/>
        </w:rPr>
        <w:t xml:space="preserve"> </w:t>
      </w:r>
    </w:p>
    <w:p w:rsidR="00B835DD" w:rsidRPr="000207B2" w:rsidRDefault="00B835DD" w:rsidP="000207B2">
      <w:pPr>
        <w:shd w:val="clear" w:color="auto" w:fill="FFFFFF"/>
        <w:spacing w:after="0" w:line="360" w:lineRule="auto"/>
        <w:jc w:val="both"/>
        <w:rPr>
          <w:rFonts w:ascii="Times New Roman" w:hAnsi="Times New Roman" w:cs="Times New Roman"/>
          <w:sz w:val="24"/>
          <w:szCs w:val="24"/>
          <w:lang w:val="es-ES"/>
        </w:rPr>
      </w:pPr>
      <w:r w:rsidRPr="000207B2">
        <w:rPr>
          <w:rFonts w:ascii="Times New Roman" w:hAnsi="Times New Roman" w:cs="Times New Roman"/>
          <w:sz w:val="24"/>
          <w:szCs w:val="24"/>
          <w:lang w:val="es-ES"/>
        </w:rPr>
        <w:t xml:space="preserve">Los juegos, como los pasatiempos, son una herramienta didáctica que transforma el aprendizaje en una experiencia agradable, de tal manera que permiten el desarrollo de habilidades que mejoran la capacidad de comprensión en las personas que los realizan, además de emplearse </w:t>
      </w:r>
      <w:r w:rsidRPr="000207B2">
        <w:rPr>
          <w:rFonts w:ascii="Times New Roman" w:hAnsi="Times New Roman" w:cs="Times New Roman"/>
          <w:sz w:val="24"/>
          <w:szCs w:val="24"/>
          <w:lang w:val="es-ES"/>
        </w:rPr>
        <w:lastRenderedPageBreak/>
        <w:t>como un instrumento de apoyo pedagógico y una forma lúdica de aprender los conceptos teóricos y su aplicación. El juego sirve como medio para desarrollar capacidades cognitivas mediante una participación activa y afectiva.</w:t>
      </w:r>
    </w:p>
    <w:p w:rsidR="00B835DD" w:rsidRPr="000207B2" w:rsidRDefault="00B835DD" w:rsidP="000207B2">
      <w:pPr>
        <w:shd w:val="clear" w:color="auto" w:fill="FFFFFF"/>
        <w:spacing w:after="0" w:line="360" w:lineRule="auto"/>
        <w:jc w:val="both"/>
        <w:rPr>
          <w:rFonts w:ascii="Times New Roman" w:hAnsi="Times New Roman" w:cs="Times New Roman"/>
          <w:sz w:val="24"/>
          <w:szCs w:val="24"/>
          <w:lang w:val="es-ES"/>
        </w:rPr>
      </w:pPr>
    </w:p>
    <w:p w:rsidR="00B835DD" w:rsidRPr="000207B2" w:rsidRDefault="00B835DD" w:rsidP="000207B2">
      <w:pPr>
        <w:shd w:val="clear" w:color="auto" w:fill="FFFFFF"/>
        <w:spacing w:after="0" w:line="360" w:lineRule="auto"/>
        <w:jc w:val="both"/>
        <w:rPr>
          <w:rFonts w:ascii="Times New Roman" w:hAnsi="Times New Roman" w:cs="Times New Roman"/>
          <w:sz w:val="24"/>
          <w:szCs w:val="24"/>
          <w:lang w:val="es-ES"/>
        </w:rPr>
      </w:pPr>
      <w:r w:rsidRPr="000207B2">
        <w:rPr>
          <w:rFonts w:ascii="Times New Roman" w:hAnsi="Times New Roman" w:cs="Times New Roman"/>
          <w:sz w:val="24"/>
          <w:szCs w:val="24"/>
          <w:lang w:val="es-ES"/>
        </w:rPr>
        <w:t xml:space="preserve">El juego sirve de medio para desarrollar capacidades mediante una participación activa y afectiva de los </w:t>
      </w:r>
      <w:proofErr w:type="spellStart"/>
      <w:r w:rsidRPr="000207B2">
        <w:rPr>
          <w:rFonts w:ascii="Times New Roman" w:hAnsi="Times New Roman" w:cs="Times New Roman"/>
          <w:sz w:val="24"/>
          <w:szCs w:val="24"/>
          <w:lang w:val="es-ES"/>
        </w:rPr>
        <w:t>alumnos.Mc</w:t>
      </w:r>
      <w:proofErr w:type="spellEnd"/>
      <w:r w:rsidRPr="000207B2">
        <w:rPr>
          <w:rFonts w:ascii="Times New Roman" w:hAnsi="Times New Roman" w:cs="Times New Roman"/>
          <w:sz w:val="24"/>
          <w:szCs w:val="24"/>
          <w:lang w:val="es-ES"/>
        </w:rPr>
        <w:t xml:space="preserve"> </w:t>
      </w:r>
      <w:proofErr w:type="spellStart"/>
      <w:r w:rsidRPr="000207B2">
        <w:rPr>
          <w:rFonts w:ascii="Times New Roman" w:hAnsi="Times New Roman" w:cs="Times New Roman"/>
          <w:sz w:val="24"/>
          <w:szCs w:val="24"/>
          <w:lang w:val="es-ES"/>
        </w:rPr>
        <w:t>Kenchie</w:t>
      </w:r>
      <w:proofErr w:type="spellEnd"/>
      <w:r w:rsidRPr="000207B2">
        <w:rPr>
          <w:rFonts w:ascii="Times New Roman" w:hAnsi="Times New Roman" w:cs="Times New Roman"/>
          <w:sz w:val="24"/>
          <w:szCs w:val="24"/>
          <w:lang w:val="es-ES"/>
        </w:rPr>
        <w:t xml:space="preserve"> (2002) propone que los juegos sean utilizados puesto que se requiere que los estudiantes sean participantes activos, tomen decisiones, solucionen problemas y reaccionen a los resultados de sus propias decisiones.</w:t>
      </w:r>
    </w:p>
    <w:p w:rsidR="00B835DD" w:rsidRPr="000207B2" w:rsidRDefault="00B835DD" w:rsidP="000207B2">
      <w:pPr>
        <w:shd w:val="clear" w:color="auto" w:fill="FFFFFF"/>
        <w:spacing w:after="0" w:line="360" w:lineRule="auto"/>
        <w:jc w:val="both"/>
        <w:rPr>
          <w:rFonts w:ascii="Times New Roman" w:hAnsi="Times New Roman" w:cs="Times New Roman"/>
          <w:sz w:val="24"/>
          <w:szCs w:val="24"/>
          <w:lang w:val="es-ES"/>
        </w:rPr>
      </w:pPr>
    </w:p>
    <w:p w:rsidR="00B835DD" w:rsidRPr="000207B2" w:rsidRDefault="00B835DD" w:rsidP="000207B2">
      <w:pPr>
        <w:shd w:val="clear" w:color="auto" w:fill="FFFFFF"/>
        <w:spacing w:after="0" w:line="360" w:lineRule="auto"/>
        <w:jc w:val="both"/>
        <w:rPr>
          <w:rFonts w:ascii="Times New Roman" w:hAnsi="Times New Roman" w:cs="Times New Roman"/>
          <w:sz w:val="24"/>
          <w:szCs w:val="24"/>
          <w:lang w:val="es-ES"/>
        </w:rPr>
      </w:pPr>
      <w:proofErr w:type="spellStart"/>
      <w:r w:rsidRPr="000207B2">
        <w:rPr>
          <w:rFonts w:ascii="Times New Roman" w:hAnsi="Times New Roman" w:cs="Times New Roman"/>
          <w:sz w:val="24"/>
          <w:szCs w:val="24"/>
          <w:lang w:val="es-ES"/>
        </w:rPr>
        <w:t>McKenchi</w:t>
      </w:r>
      <w:proofErr w:type="spellEnd"/>
      <w:r w:rsidRPr="000207B2">
        <w:rPr>
          <w:rFonts w:ascii="Times New Roman" w:hAnsi="Times New Roman" w:cs="Times New Roman"/>
          <w:sz w:val="24"/>
          <w:szCs w:val="24"/>
          <w:lang w:val="es-ES"/>
        </w:rPr>
        <w:t xml:space="preserve"> (2002) propone que los juegos sean utilizados en los estudiantes puesto que se requiere que estos sean participantes activos, decidan, solucionen problemas y reaccionen a los resultados de sus propias decisiones.</w:t>
      </w:r>
    </w:p>
    <w:p w:rsidR="00B835DD" w:rsidRPr="000207B2" w:rsidRDefault="00B835DD" w:rsidP="000207B2">
      <w:pPr>
        <w:shd w:val="clear" w:color="auto" w:fill="FFFFFF"/>
        <w:spacing w:after="0" w:line="360" w:lineRule="auto"/>
        <w:jc w:val="both"/>
        <w:rPr>
          <w:rFonts w:ascii="Times New Roman" w:hAnsi="Times New Roman" w:cs="Times New Roman"/>
          <w:sz w:val="24"/>
          <w:szCs w:val="24"/>
          <w:lang w:val="es-ES"/>
        </w:rPr>
      </w:pPr>
    </w:p>
    <w:p w:rsidR="00B835DD" w:rsidRPr="000207B2" w:rsidRDefault="00B835DD" w:rsidP="000207B2">
      <w:pPr>
        <w:shd w:val="clear" w:color="auto" w:fill="FFFFFF"/>
        <w:spacing w:after="0" w:line="360" w:lineRule="auto"/>
        <w:jc w:val="both"/>
        <w:rPr>
          <w:rFonts w:ascii="Times New Roman" w:hAnsi="Times New Roman" w:cs="Times New Roman"/>
          <w:sz w:val="24"/>
          <w:szCs w:val="24"/>
          <w:lang w:val="es-ES"/>
        </w:rPr>
      </w:pPr>
      <w:r w:rsidRPr="000207B2">
        <w:rPr>
          <w:rFonts w:ascii="Times New Roman" w:hAnsi="Times New Roman" w:cs="Times New Roman"/>
          <w:sz w:val="24"/>
          <w:szCs w:val="24"/>
          <w:lang w:val="es-ES"/>
        </w:rPr>
        <w:t>La implementación y resolución de juegos y pasatiempos:</w:t>
      </w:r>
    </w:p>
    <w:p w:rsidR="00B835DD" w:rsidRPr="000207B2" w:rsidRDefault="00B835DD" w:rsidP="000207B2">
      <w:pPr>
        <w:shd w:val="clear" w:color="auto" w:fill="FFFFFF"/>
        <w:spacing w:after="0" w:line="360" w:lineRule="auto"/>
        <w:jc w:val="both"/>
        <w:rPr>
          <w:rFonts w:ascii="Times New Roman" w:hAnsi="Times New Roman" w:cs="Times New Roman"/>
          <w:sz w:val="24"/>
          <w:szCs w:val="24"/>
          <w:lang w:val="es-ES"/>
        </w:rPr>
      </w:pPr>
    </w:p>
    <w:p w:rsidR="00B835DD" w:rsidRPr="000207B2" w:rsidRDefault="00B835DD" w:rsidP="000207B2">
      <w:pPr>
        <w:pStyle w:val="Prrafodelista"/>
        <w:numPr>
          <w:ilvl w:val="0"/>
          <w:numId w:val="2"/>
        </w:numPr>
        <w:shd w:val="clear" w:color="auto" w:fill="FFFFFF"/>
        <w:spacing w:line="360" w:lineRule="auto"/>
        <w:jc w:val="both"/>
        <w:rPr>
          <w:rFonts w:ascii="Times New Roman" w:hAnsi="Times New Roman" w:cs="Times New Roman"/>
          <w:lang w:val="es-ES"/>
        </w:rPr>
      </w:pPr>
      <w:r w:rsidRPr="000207B2">
        <w:rPr>
          <w:rFonts w:ascii="Times New Roman" w:hAnsi="Times New Roman" w:cs="Times New Roman"/>
          <w:lang w:val="es-ES"/>
        </w:rPr>
        <w:t>Promueven el dominio específico de un área en particular</w:t>
      </w:r>
    </w:p>
    <w:p w:rsidR="00B835DD" w:rsidRPr="000207B2" w:rsidRDefault="00B835DD" w:rsidP="000207B2">
      <w:pPr>
        <w:pStyle w:val="Prrafodelista"/>
        <w:numPr>
          <w:ilvl w:val="0"/>
          <w:numId w:val="2"/>
        </w:numPr>
        <w:shd w:val="clear" w:color="auto" w:fill="FFFFFF"/>
        <w:spacing w:line="360" w:lineRule="auto"/>
        <w:jc w:val="both"/>
        <w:rPr>
          <w:rFonts w:ascii="Times New Roman" w:hAnsi="Times New Roman" w:cs="Times New Roman"/>
          <w:lang w:val="es-ES"/>
        </w:rPr>
      </w:pPr>
      <w:r w:rsidRPr="000207B2">
        <w:rPr>
          <w:rFonts w:ascii="Times New Roman" w:hAnsi="Times New Roman" w:cs="Times New Roman"/>
          <w:lang w:val="es-ES"/>
        </w:rPr>
        <w:t>Estimulan a los estudiantes para recordar información importante del curso</w:t>
      </w:r>
    </w:p>
    <w:p w:rsidR="00B835DD" w:rsidRPr="000207B2" w:rsidRDefault="00B835DD" w:rsidP="000207B2">
      <w:pPr>
        <w:pStyle w:val="Prrafodelista"/>
        <w:numPr>
          <w:ilvl w:val="0"/>
          <w:numId w:val="2"/>
        </w:numPr>
        <w:shd w:val="clear" w:color="auto" w:fill="FFFFFF"/>
        <w:spacing w:line="360" w:lineRule="auto"/>
        <w:jc w:val="both"/>
        <w:rPr>
          <w:rFonts w:ascii="Times New Roman" w:hAnsi="Times New Roman" w:cs="Times New Roman"/>
          <w:lang w:val="es-ES"/>
        </w:rPr>
      </w:pPr>
      <w:r w:rsidRPr="000207B2">
        <w:rPr>
          <w:rFonts w:ascii="Times New Roman" w:hAnsi="Times New Roman" w:cs="Times New Roman"/>
          <w:lang w:val="es-ES"/>
        </w:rPr>
        <w:t>Impactan favorablemente sobre el desarrollo cognitivo de los alumnos</w:t>
      </w:r>
    </w:p>
    <w:p w:rsidR="00B835DD" w:rsidRPr="000207B2" w:rsidRDefault="00B835DD" w:rsidP="000207B2">
      <w:pPr>
        <w:pStyle w:val="Prrafodelista"/>
        <w:numPr>
          <w:ilvl w:val="0"/>
          <w:numId w:val="2"/>
        </w:numPr>
        <w:shd w:val="clear" w:color="auto" w:fill="FFFFFF"/>
        <w:spacing w:line="360" w:lineRule="auto"/>
        <w:jc w:val="both"/>
        <w:rPr>
          <w:rFonts w:ascii="Times New Roman" w:hAnsi="Times New Roman" w:cs="Times New Roman"/>
          <w:lang w:val="es-ES"/>
        </w:rPr>
      </w:pPr>
      <w:r w:rsidRPr="000207B2">
        <w:rPr>
          <w:rFonts w:ascii="Times New Roman" w:hAnsi="Times New Roman" w:cs="Times New Roman"/>
          <w:lang w:val="es-ES"/>
        </w:rPr>
        <w:t>Motivan a los alumnos para aprender y no para memorizar</w:t>
      </w:r>
    </w:p>
    <w:p w:rsidR="00B835DD" w:rsidRPr="000207B2" w:rsidRDefault="00B835DD" w:rsidP="000207B2">
      <w:pPr>
        <w:pStyle w:val="Prrafodelista"/>
        <w:numPr>
          <w:ilvl w:val="0"/>
          <w:numId w:val="2"/>
        </w:numPr>
        <w:shd w:val="clear" w:color="auto" w:fill="FFFFFF"/>
        <w:spacing w:line="360" w:lineRule="auto"/>
        <w:jc w:val="both"/>
        <w:rPr>
          <w:rFonts w:ascii="Times New Roman" w:hAnsi="Times New Roman" w:cs="Times New Roman"/>
          <w:lang w:val="es-ES"/>
        </w:rPr>
      </w:pPr>
      <w:r w:rsidRPr="000207B2">
        <w:rPr>
          <w:rFonts w:ascii="Times New Roman" w:hAnsi="Times New Roman" w:cs="Times New Roman"/>
          <w:lang w:val="es-ES"/>
        </w:rPr>
        <w:t>Impulsan la confianza del estudiante al obtener respuestas correctas</w:t>
      </w:r>
    </w:p>
    <w:p w:rsidR="00B835DD" w:rsidRPr="000207B2" w:rsidRDefault="00B835DD" w:rsidP="000207B2">
      <w:pPr>
        <w:pStyle w:val="Prrafodelista"/>
        <w:numPr>
          <w:ilvl w:val="0"/>
          <w:numId w:val="2"/>
        </w:numPr>
        <w:shd w:val="clear" w:color="auto" w:fill="FFFFFF"/>
        <w:spacing w:line="360" w:lineRule="auto"/>
        <w:jc w:val="both"/>
        <w:rPr>
          <w:rFonts w:ascii="Times New Roman" w:hAnsi="Times New Roman" w:cs="Times New Roman"/>
          <w:lang w:val="es-ES"/>
        </w:rPr>
      </w:pPr>
      <w:r w:rsidRPr="000207B2">
        <w:rPr>
          <w:rFonts w:ascii="Times New Roman" w:hAnsi="Times New Roman" w:cs="Times New Roman"/>
          <w:lang w:val="es-ES"/>
        </w:rPr>
        <w:t>Son concebidos por los alumnos como una actividad recreativa</w:t>
      </w:r>
    </w:p>
    <w:p w:rsidR="00B835DD" w:rsidRPr="000207B2" w:rsidRDefault="00B835DD" w:rsidP="000207B2">
      <w:pPr>
        <w:pStyle w:val="Prrafodelista"/>
        <w:numPr>
          <w:ilvl w:val="0"/>
          <w:numId w:val="2"/>
        </w:numPr>
        <w:shd w:val="clear" w:color="auto" w:fill="FFFFFF"/>
        <w:spacing w:line="360" w:lineRule="auto"/>
        <w:jc w:val="both"/>
        <w:rPr>
          <w:rFonts w:ascii="Times New Roman" w:hAnsi="Times New Roman" w:cs="Times New Roman"/>
          <w:lang w:val="es-ES"/>
        </w:rPr>
      </w:pPr>
      <w:r w:rsidRPr="000207B2">
        <w:rPr>
          <w:rFonts w:ascii="Times New Roman" w:hAnsi="Times New Roman" w:cs="Times New Roman"/>
          <w:lang w:val="es-ES"/>
        </w:rPr>
        <w:t>Representan una herramienta de aprendizaje efectivo de la terminología y la sintaxis así como la interpretación y relación de conceptos claves.</w:t>
      </w:r>
    </w:p>
    <w:p w:rsidR="00B835DD" w:rsidRPr="000207B2" w:rsidRDefault="00B835DD" w:rsidP="000207B2">
      <w:pPr>
        <w:shd w:val="clear" w:color="auto" w:fill="FFFFFF"/>
        <w:spacing w:after="0" w:line="360" w:lineRule="auto"/>
        <w:jc w:val="both"/>
        <w:rPr>
          <w:rFonts w:ascii="Times New Roman" w:hAnsi="Times New Roman" w:cs="Times New Roman"/>
          <w:sz w:val="24"/>
          <w:szCs w:val="24"/>
          <w:lang w:val="es-ES"/>
        </w:rPr>
      </w:pPr>
    </w:p>
    <w:p w:rsidR="00B835DD" w:rsidRPr="000207B2" w:rsidRDefault="00B835DD" w:rsidP="000207B2">
      <w:pPr>
        <w:shd w:val="clear" w:color="auto" w:fill="FFFFFF"/>
        <w:spacing w:after="0" w:line="360" w:lineRule="auto"/>
        <w:jc w:val="both"/>
        <w:rPr>
          <w:rFonts w:ascii="Times New Roman" w:hAnsi="Times New Roman" w:cs="Times New Roman"/>
          <w:sz w:val="24"/>
          <w:szCs w:val="24"/>
          <w:lang w:val="es-ES"/>
        </w:rPr>
      </w:pPr>
      <w:r w:rsidRPr="000207B2">
        <w:rPr>
          <w:rFonts w:ascii="Times New Roman" w:hAnsi="Times New Roman" w:cs="Times New Roman"/>
          <w:sz w:val="24"/>
          <w:szCs w:val="24"/>
          <w:lang w:val="es-ES"/>
        </w:rPr>
        <w:t xml:space="preserve">Lomas (1999 señala que los crucigramas intervienen en el desarrollo cognitivo social. Su empleo en las actividades académicas formales facilita la intervención docente ya que en los alumnos la favorecen atención, la concentración, las estrategias de búsqueda de información y la solución de problemas al estimulan el trabajo mental y por consecuencia la inteligencia; convirtiéndose con ello en una valioso apoyo para facilitar la intervención pedagógica de los docentes en las aulas y el aprendizaje del alumnado. Mientras que Olivares (2008) afirma que los crucigramas contribuyen a mejorar el desempeño académico, amenizan la enseñanza y son elementos que </w:t>
      </w:r>
      <w:r w:rsidRPr="000207B2">
        <w:rPr>
          <w:rFonts w:ascii="Times New Roman" w:hAnsi="Times New Roman" w:cs="Times New Roman"/>
          <w:sz w:val="24"/>
          <w:szCs w:val="24"/>
          <w:lang w:val="es-ES"/>
        </w:rPr>
        <w:lastRenderedPageBreak/>
        <w:t>despiertan en el alumno habilidades que le permitirán el perfeccionamiento de sus capacidades en la toma de decisiones</w:t>
      </w:r>
    </w:p>
    <w:p w:rsidR="00B835DD" w:rsidRPr="000207B2" w:rsidRDefault="00B835DD" w:rsidP="000207B2">
      <w:pPr>
        <w:shd w:val="clear" w:color="auto" w:fill="FFFFFF"/>
        <w:spacing w:after="0" w:line="360" w:lineRule="auto"/>
        <w:jc w:val="both"/>
        <w:rPr>
          <w:rFonts w:ascii="Times New Roman" w:hAnsi="Times New Roman" w:cs="Times New Roman"/>
          <w:sz w:val="24"/>
          <w:szCs w:val="24"/>
          <w:lang w:val="es-ES"/>
        </w:rPr>
      </w:pPr>
    </w:p>
    <w:p w:rsidR="00B835DD" w:rsidRPr="000207B2" w:rsidRDefault="00B835DD" w:rsidP="000207B2">
      <w:pPr>
        <w:shd w:val="clear" w:color="auto" w:fill="FFFFFF"/>
        <w:spacing w:after="0" w:line="360" w:lineRule="auto"/>
        <w:jc w:val="both"/>
        <w:rPr>
          <w:rFonts w:ascii="Times New Roman" w:hAnsi="Times New Roman" w:cs="Times New Roman"/>
          <w:sz w:val="24"/>
          <w:szCs w:val="24"/>
          <w:lang w:val="es-ES"/>
        </w:rPr>
      </w:pPr>
      <w:r w:rsidRPr="000207B2">
        <w:rPr>
          <w:rFonts w:ascii="Times New Roman" w:hAnsi="Times New Roman" w:cs="Times New Roman"/>
          <w:sz w:val="24"/>
          <w:szCs w:val="24"/>
          <w:lang w:val="es-ES"/>
        </w:rPr>
        <w:t xml:space="preserve">Por lo antes expuesto, y con la finalidad de facilitar el aprendizaje significativo de la bacteriología veterinaria se buscaron herramientas didácticas que incrementen el interés por el estudio de las ciencias y estimulen la adquisición y desarrollo de habilidades digitales en el aprendizaje formal aprovechando que la juventud actual posee habilidades tecnológicas de manera casi innata. Se diseñaron juegos y pasatiempos para emplearse como apoyo docente tanto en las clases presenciales como en las virtuales.  </w:t>
      </w:r>
    </w:p>
    <w:p w:rsidR="00B835DD" w:rsidRPr="000207B2" w:rsidRDefault="00B835DD" w:rsidP="000207B2">
      <w:pPr>
        <w:shd w:val="clear" w:color="auto" w:fill="FFFFFF"/>
        <w:spacing w:after="0" w:line="360" w:lineRule="auto"/>
        <w:jc w:val="both"/>
        <w:rPr>
          <w:rFonts w:ascii="Times New Roman" w:hAnsi="Times New Roman" w:cs="Times New Roman"/>
          <w:sz w:val="24"/>
          <w:szCs w:val="24"/>
          <w:lang w:val="es-ES"/>
        </w:rPr>
      </w:pPr>
    </w:p>
    <w:p w:rsidR="00B835DD" w:rsidRPr="000207B2" w:rsidRDefault="00B835DD" w:rsidP="000207B2">
      <w:pPr>
        <w:shd w:val="clear" w:color="auto" w:fill="FFFFFF"/>
        <w:spacing w:after="0" w:line="360" w:lineRule="auto"/>
        <w:jc w:val="both"/>
        <w:rPr>
          <w:rFonts w:ascii="Times New Roman" w:hAnsi="Times New Roman" w:cs="Times New Roman"/>
          <w:sz w:val="24"/>
          <w:szCs w:val="24"/>
          <w:lang w:val="es-ES"/>
        </w:rPr>
      </w:pPr>
      <w:proofErr w:type="spellStart"/>
      <w:r w:rsidRPr="000207B2">
        <w:rPr>
          <w:rFonts w:ascii="Times New Roman" w:hAnsi="Times New Roman" w:cs="Times New Roman"/>
          <w:sz w:val="24"/>
          <w:szCs w:val="24"/>
          <w:lang w:val="es-ES"/>
        </w:rPr>
        <w:t>Educaplay</w:t>
      </w:r>
      <w:proofErr w:type="spellEnd"/>
      <w:r w:rsidRPr="000207B2">
        <w:rPr>
          <w:rFonts w:ascii="Times New Roman" w:hAnsi="Times New Roman" w:cs="Times New Roman"/>
          <w:sz w:val="24"/>
          <w:szCs w:val="24"/>
          <w:lang w:val="es-ES"/>
        </w:rPr>
        <w:t xml:space="preserve"> es una plataforma que permite la elaboración de material didáctico empleando enunciados de texto, imágenes y audio en un amplio rango de posibilidades que facilitan la interacción y son susceptibles para exportación en forma virtual como paquetes SCORM e integrarse en otras plataformas o aulas virtuales, realizar el seguimiento, registrar actividades realizadas y almacenar calificaciones obtenidas por los alumnos.</w:t>
      </w:r>
    </w:p>
    <w:p w:rsidR="00B835DD" w:rsidRPr="000207B2" w:rsidRDefault="00B835DD" w:rsidP="000207B2">
      <w:pPr>
        <w:spacing w:after="0" w:line="360" w:lineRule="auto"/>
        <w:jc w:val="both"/>
        <w:rPr>
          <w:rFonts w:ascii="Times New Roman" w:hAnsi="Times New Roman" w:cs="Times New Roman"/>
          <w:b/>
          <w:sz w:val="24"/>
          <w:szCs w:val="24"/>
          <w:lang w:val="es-ES"/>
        </w:rPr>
      </w:pPr>
    </w:p>
    <w:p w:rsidR="00B835DD" w:rsidRPr="000207B2" w:rsidRDefault="00B835DD" w:rsidP="000207B2">
      <w:pPr>
        <w:spacing w:after="0" w:line="360" w:lineRule="auto"/>
        <w:jc w:val="both"/>
        <w:rPr>
          <w:rFonts w:ascii="Times New Roman" w:hAnsi="Times New Roman" w:cs="Times New Roman"/>
          <w:b/>
          <w:sz w:val="24"/>
          <w:szCs w:val="24"/>
          <w:lang w:val="es-ES"/>
        </w:rPr>
      </w:pPr>
      <w:r w:rsidRPr="000207B2">
        <w:rPr>
          <w:rFonts w:ascii="Times New Roman" w:hAnsi="Times New Roman" w:cs="Times New Roman"/>
          <w:b/>
          <w:sz w:val="24"/>
          <w:szCs w:val="24"/>
          <w:lang w:val="es-ES"/>
        </w:rPr>
        <w:t>PARTE EXPERIMENTAL</w:t>
      </w:r>
    </w:p>
    <w:p w:rsidR="00B835DD" w:rsidRDefault="00B835DD" w:rsidP="000207B2">
      <w:pPr>
        <w:shd w:val="clear" w:color="auto" w:fill="FFFFFF"/>
        <w:spacing w:after="0" w:line="360" w:lineRule="auto"/>
        <w:jc w:val="both"/>
        <w:rPr>
          <w:rFonts w:ascii="Times New Roman" w:hAnsi="Times New Roman" w:cs="Times New Roman"/>
          <w:sz w:val="24"/>
          <w:szCs w:val="24"/>
          <w:lang w:val="es-ES"/>
        </w:rPr>
      </w:pPr>
      <w:r w:rsidRPr="000207B2">
        <w:rPr>
          <w:rFonts w:ascii="Times New Roman" w:hAnsi="Times New Roman" w:cs="Times New Roman"/>
          <w:sz w:val="24"/>
          <w:szCs w:val="24"/>
          <w:lang w:val="es-ES"/>
        </w:rPr>
        <w:t xml:space="preserve">En la fase inicial del proyecto se crearon en la plataforma </w:t>
      </w:r>
      <w:proofErr w:type="spellStart"/>
      <w:r w:rsidRPr="000207B2">
        <w:rPr>
          <w:rFonts w:ascii="Times New Roman" w:hAnsi="Times New Roman" w:cs="Times New Roman"/>
          <w:sz w:val="24"/>
          <w:szCs w:val="24"/>
          <w:lang w:val="es-ES"/>
        </w:rPr>
        <w:t>Educaplay</w:t>
      </w:r>
      <w:proofErr w:type="spellEnd"/>
      <w:r w:rsidRPr="000207B2">
        <w:rPr>
          <w:rFonts w:ascii="Times New Roman" w:hAnsi="Times New Roman" w:cs="Times New Roman"/>
          <w:sz w:val="24"/>
          <w:szCs w:val="24"/>
          <w:lang w:val="es-ES"/>
        </w:rPr>
        <w:t xml:space="preserve"> (</w:t>
      </w:r>
      <w:hyperlink r:id="rId8" w:history="1">
        <w:r w:rsidRPr="000207B2">
          <w:rPr>
            <w:rStyle w:val="Hipervnculo"/>
            <w:rFonts w:ascii="Times New Roman" w:hAnsi="Times New Roman" w:cs="Times New Roman"/>
            <w:sz w:val="24"/>
            <w:szCs w:val="24"/>
            <w:lang w:val="es-ES"/>
          </w:rPr>
          <w:t>http://www.educaplay.com</w:t>
        </w:r>
      </w:hyperlink>
      <w:r w:rsidRPr="000207B2">
        <w:rPr>
          <w:rFonts w:ascii="Times New Roman" w:hAnsi="Times New Roman" w:cs="Times New Roman"/>
          <w:sz w:val="24"/>
          <w:szCs w:val="24"/>
          <w:lang w:val="es-ES"/>
        </w:rPr>
        <w:t>) 90 actividades, entre ellas: sopa de letras, crucigrama, relacionar, mapas interactivos y adivinanzas para la asignatura de Bacteriología Veterinaria (figura 1), se exportaron y se alojaron en Moodle.</w:t>
      </w:r>
    </w:p>
    <w:p w:rsidR="000207B2" w:rsidRDefault="000207B2" w:rsidP="000207B2">
      <w:pPr>
        <w:shd w:val="clear" w:color="auto" w:fill="FFFFFF"/>
        <w:spacing w:after="0" w:line="360" w:lineRule="auto"/>
        <w:jc w:val="both"/>
        <w:rPr>
          <w:rFonts w:ascii="Times New Roman" w:hAnsi="Times New Roman" w:cs="Times New Roman"/>
          <w:sz w:val="24"/>
          <w:szCs w:val="24"/>
          <w:lang w:val="es-ES"/>
        </w:rPr>
      </w:pPr>
    </w:p>
    <w:p w:rsidR="000207B2" w:rsidRDefault="000207B2" w:rsidP="000207B2">
      <w:pPr>
        <w:shd w:val="clear" w:color="auto" w:fill="FFFFFF"/>
        <w:spacing w:after="0" w:line="360" w:lineRule="auto"/>
        <w:jc w:val="both"/>
        <w:rPr>
          <w:rFonts w:ascii="Times New Roman" w:hAnsi="Times New Roman" w:cs="Times New Roman"/>
          <w:sz w:val="24"/>
          <w:szCs w:val="24"/>
          <w:lang w:val="es-ES"/>
        </w:rPr>
      </w:pPr>
    </w:p>
    <w:p w:rsidR="000207B2" w:rsidRDefault="000207B2" w:rsidP="000207B2">
      <w:pPr>
        <w:shd w:val="clear" w:color="auto" w:fill="FFFFFF"/>
        <w:spacing w:after="0" w:line="360" w:lineRule="auto"/>
        <w:jc w:val="both"/>
        <w:rPr>
          <w:rFonts w:ascii="Times New Roman" w:hAnsi="Times New Roman" w:cs="Times New Roman"/>
          <w:sz w:val="24"/>
          <w:szCs w:val="24"/>
          <w:lang w:val="es-ES"/>
        </w:rPr>
      </w:pPr>
    </w:p>
    <w:p w:rsidR="000207B2" w:rsidRDefault="000207B2" w:rsidP="000207B2">
      <w:pPr>
        <w:shd w:val="clear" w:color="auto" w:fill="FFFFFF"/>
        <w:spacing w:after="0" w:line="360" w:lineRule="auto"/>
        <w:jc w:val="both"/>
        <w:rPr>
          <w:rFonts w:ascii="Times New Roman" w:hAnsi="Times New Roman" w:cs="Times New Roman"/>
          <w:sz w:val="24"/>
          <w:szCs w:val="24"/>
          <w:lang w:val="es-ES"/>
        </w:rPr>
      </w:pPr>
    </w:p>
    <w:p w:rsidR="000207B2" w:rsidRDefault="000207B2" w:rsidP="000207B2">
      <w:pPr>
        <w:shd w:val="clear" w:color="auto" w:fill="FFFFFF"/>
        <w:spacing w:after="0" w:line="360" w:lineRule="auto"/>
        <w:jc w:val="both"/>
        <w:rPr>
          <w:rFonts w:ascii="Times New Roman" w:hAnsi="Times New Roman" w:cs="Times New Roman"/>
          <w:sz w:val="24"/>
          <w:szCs w:val="24"/>
          <w:lang w:val="es-ES"/>
        </w:rPr>
      </w:pPr>
    </w:p>
    <w:p w:rsidR="000207B2" w:rsidRDefault="000207B2" w:rsidP="000207B2">
      <w:pPr>
        <w:shd w:val="clear" w:color="auto" w:fill="FFFFFF"/>
        <w:spacing w:after="0" w:line="360" w:lineRule="auto"/>
        <w:jc w:val="both"/>
        <w:rPr>
          <w:rFonts w:ascii="Times New Roman" w:hAnsi="Times New Roman" w:cs="Times New Roman"/>
          <w:sz w:val="24"/>
          <w:szCs w:val="24"/>
          <w:lang w:val="es-ES"/>
        </w:rPr>
      </w:pPr>
    </w:p>
    <w:p w:rsidR="000207B2" w:rsidRDefault="000207B2" w:rsidP="000207B2">
      <w:pPr>
        <w:shd w:val="clear" w:color="auto" w:fill="FFFFFF"/>
        <w:spacing w:after="0" w:line="360" w:lineRule="auto"/>
        <w:jc w:val="both"/>
        <w:rPr>
          <w:rFonts w:ascii="Times New Roman" w:hAnsi="Times New Roman" w:cs="Times New Roman"/>
          <w:sz w:val="24"/>
          <w:szCs w:val="24"/>
          <w:lang w:val="es-ES"/>
        </w:rPr>
      </w:pPr>
    </w:p>
    <w:p w:rsidR="000207B2" w:rsidRDefault="000207B2" w:rsidP="000207B2">
      <w:pPr>
        <w:shd w:val="clear" w:color="auto" w:fill="FFFFFF"/>
        <w:spacing w:after="0" w:line="360" w:lineRule="auto"/>
        <w:jc w:val="both"/>
        <w:rPr>
          <w:rFonts w:ascii="Times New Roman" w:hAnsi="Times New Roman" w:cs="Times New Roman"/>
          <w:sz w:val="24"/>
          <w:szCs w:val="24"/>
          <w:lang w:val="es-ES"/>
        </w:rPr>
      </w:pPr>
    </w:p>
    <w:p w:rsidR="000207B2" w:rsidRPr="00B835DD" w:rsidRDefault="000207B2" w:rsidP="000207B2">
      <w:pPr>
        <w:shd w:val="clear" w:color="auto" w:fill="FFFFFF"/>
        <w:spacing w:after="0" w:line="360" w:lineRule="auto"/>
        <w:jc w:val="both"/>
        <w:rPr>
          <w:rFonts w:cstheme="minorHAnsi"/>
          <w:sz w:val="24"/>
          <w:szCs w:val="24"/>
          <w:lang w:val="es-ES"/>
        </w:rPr>
      </w:pPr>
    </w:p>
    <w:p w:rsidR="00B835DD" w:rsidRPr="00B835DD" w:rsidRDefault="00B835DD" w:rsidP="00B835DD">
      <w:pPr>
        <w:shd w:val="clear" w:color="auto" w:fill="FFFFFF"/>
        <w:spacing w:after="0" w:line="360" w:lineRule="auto"/>
        <w:jc w:val="both"/>
        <w:rPr>
          <w:rFonts w:cstheme="minorHAnsi"/>
          <w:sz w:val="24"/>
          <w:szCs w:val="24"/>
          <w:lang w:val="es-ES"/>
        </w:rPr>
      </w:pPr>
      <w:r w:rsidRPr="00B835DD">
        <w:rPr>
          <w:rFonts w:cstheme="minorHAnsi"/>
          <w:noProof/>
          <w:sz w:val="24"/>
          <w:szCs w:val="24"/>
          <w:lang w:eastAsia="es-MX"/>
        </w:rPr>
        <w:lastRenderedPageBreak/>
        <w:drawing>
          <wp:anchor distT="0" distB="0" distL="114300" distR="114300" simplePos="0" relativeHeight="251659264" behindDoc="1" locked="0" layoutInCell="1" allowOverlap="1">
            <wp:simplePos x="0" y="0"/>
            <wp:positionH relativeFrom="column">
              <wp:posOffset>-67310</wp:posOffset>
            </wp:positionH>
            <wp:positionV relativeFrom="paragraph">
              <wp:posOffset>62230</wp:posOffset>
            </wp:positionV>
            <wp:extent cx="5570220" cy="2423160"/>
            <wp:effectExtent l="0" t="0" r="0" b="0"/>
            <wp:wrapTight wrapText="bothSides">
              <wp:wrapPolygon edited="0">
                <wp:start x="0" y="0"/>
                <wp:lineTo x="0" y="21396"/>
                <wp:lineTo x="21497" y="21396"/>
                <wp:lineTo x="21497" y="0"/>
                <wp:lineTo x="0" y="0"/>
              </wp:wrapPolygon>
            </wp:wrapTight>
            <wp:docPr id="8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idade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70220" cy="2423160"/>
                    </a:xfrm>
                    <a:prstGeom prst="rect">
                      <a:avLst/>
                    </a:prstGeom>
                  </pic:spPr>
                </pic:pic>
              </a:graphicData>
            </a:graphic>
          </wp:anchor>
        </w:drawing>
      </w:r>
    </w:p>
    <w:p w:rsidR="00B835DD" w:rsidRDefault="00B835DD" w:rsidP="00B835DD">
      <w:pPr>
        <w:spacing w:after="0" w:line="360" w:lineRule="auto"/>
        <w:jc w:val="both"/>
        <w:rPr>
          <w:rFonts w:cstheme="minorHAnsi"/>
          <w:sz w:val="24"/>
          <w:szCs w:val="24"/>
          <w:lang w:val="es-ES"/>
        </w:rPr>
      </w:pPr>
    </w:p>
    <w:p w:rsidR="00B835DD" w:rsidRDefault="00B835DD" w:rsidP="00B835DD">
      <w:pPr>
        <w:spacing w:after="0" w:line="360" w:lineRule="auto"/>
        <w:jc w:val="both"/>
        <w:rPr>
          <w:rFonts w:cstheme="minorHAnsi"/>
          <w:sz w:val="24"/>
          <w:szCs w:val="24"/>
          <w:lang w:val="es-ES"/>
        </w:rPr>
      </w:pPr>
    </w:p>
    <w:p w:rsidR="00B835DD" w:rsidRDefault="00B835DD" w:rsidP="00B835DD">
      <w:pPr>
        <w:spacing w:after="0" w:line="360" w:lineRule="auto"/>
        <w:jc w:val="both"/>
        <w:rPr>
          <w:rFonts w:cstheme="minorHAnsi"/>
          <w:sz w:val="24"/>
          <w:szCs w:val="24"/>
          <w:lang w:val="es-ES"/>
        </w:rPr>
      </w:pPr>
    </w:p>
    <w:p w:rsidR="00B835DD" w:rsidRDefault="00B835DD" w:rsidP="00B835DD">
      <w:pPr>
        <w:spacing w:after="0" w:line="360" w:lineRule="auto"/>
        <w:jc w:val="both"/>
        <w:rPr>
          <w:rFonts w:cstheme="minorHAnsi"/>
          <w:sz w:val="24"/>
          <w:szCs w:val="24"/>
          <w:lang w:val="es-ES"/>
        </w:rPr>
      </w:pPr>
    </w:p>
    <w:p w:rsidR="00B835DD" w:rsidRDefault="00B835DD" w:rsidP="00B835DD">
      <w:pPr>
        <w:spacing w:after="0" w:line="360" w:lineRule="auto"/>
        <w:jc w:val="both"/>
        <w:rPr>
          <w:rFonts w:cstheme="minorHAnsi"/>
          <w:sz w:val="24"/>
          <w:szCs w:val="24"/>
          <w:lang w:val="es-ES"/>
        </w:rPr>
      </w:pPr>
    </w:p>
    <w:p w:rsidR="00B835DD" w:rsidRDefault="00B835DD" w:rsidP="00B835DD">
      <w:pPr>
        <w:spacing w:after="0" w:line="360" w:lineRule="auto"/>
        <w:jc w:val="both"/>
        <w:rPr>
          <w:rFonts w:cstheme="minorHAnsi"/>
          <w:sz w:val="24"/>
          <w:szCs w:val="24"/>
          <w:lang w:val="es-ES"/>
        </w:rPr>
      </w:pPr>
    </w:p>
    <w:p w:rsidR="00B835DD" w:rsidRPr="000207B2" w:rsidRDefault="00B835DD" w:rsidP="00B835DD">
      <w:pPr>
        <w:spacing w:after="0" w:line="360" w:lineRule="auto"/>
        <w:jc w:val="both"/>
        <w:rPr>
          <w:rFonts w:ascii="Times New Roman" w:hAnsi="Times New Roman" w:cs="Times New Roman"/>
          <w:sz w:val="24"/>
          <w:szCs w:val="24"/>
          <w:lang w:val="es-ES"/>
        </w:rPr>
      </w:pPr>
      <w:r w:rsidRPr="000207B2">
        <w:rPr>
          <w:rFonts w:ascii="Times New Roman" w:hAnsi="Times New Roman" w:cs="Times New Roman"/>
          <w:sz w:val="24"/>
          <w:szCs w:val="24"/>
          <w:lang w:val="es-ES"/>
        </w:rPr>
        <w:t xml:space="preserve">Figura1. Ejemplo de actividades elaboradas en </w:t>
      </w:r>
      <w:proofErr w:type="spellStart"/>
      <w:r w:rsidRPr="000207B2">
        <w:rPr>
          <w:rFonts w:ascii="Times New Roman" w:hAnsi="Times New Roman" w:cs="Times New Roman"/>
          <w:sz w:val="24"/>
          <w:szCs w:val="24"/>
          <w:lang w:val="es-ES"/>
        </w:rPr>
        <w:t>Educaplay</w:t>
      </w:r>
      <w:proofErr w:type="spellEnd"/>
    </w:p>
    <w:p w:rsidR="00B835DD" w:rsidRPr="000207B2" w:rsidRDefault="00B835DD" w:rsidP="00B835DD">
      <w:pPr>
        <w:shd w:val="clear" w:color="auto" w:fill="FFFFFF"/>
        <w:spacing w:after="0" w:line="360" w:lineRule="auto"/>
        <w:jc w:val="both"/>
        <w:rPr>
          <w:rFonts w:ascii="Times New Roman" w:hAnsi="Times New Roman" w:cs="Times New Roman"/>
          <w:sz w:val="24"/>
          <w:szCs w:val="24"/>
          <w:lang w:val="es-ES"/>
        </w:rPr>
      </w:pPr>
    </w:p>
    <w:p w:rsidR="00B835DD" w:rsidRPr="000207B2" w:rsidRDefault="00B835DD" w:rsidP="00B835DD">
      <w:pPr>
        <w:shd w:val="clear" w:color="auto" w:fill="FFFFFF"/>
        <w:spacing w:after="0" w:line="360" w:lineRule="auto"/>
        <w:jc w:val="both"/>
        <w:rPr>
          <w:rFonts w:ascii="Times New Roman" w:hAnsi="Times New Roman" w:cs="Times New Roman"/>
          <w:sz w:val="24"/>
          <w:szCs w:val="24"/>
          <w:lang w:val="es-ES"/>
        </w:rPr>
      </w:pPr>
      <w:r w:rsidRPr="000207B2">
        <w:rPr>
          <w:rFonts w:ascii="Times New Roman" w:hAnsi="Times New Roman" w:cs="Times New Roman"/>
          <w:sz w:val="24"/>
          <w:szCs w:val="24"/>
          <w:lang w:val="es-ES"/>
        </w:rPr>
        <w:t>Para la implementación de la fase experimental se invitó a dos grupos de tercer semestre de la asignatura de Bacteriología Veterinaria de la Licenciatura en Medicina Veterinaria y Zootecnia del Centro Universitario de Ciencias Biológicas y Agropecuarias de la Universidad de Guadalajara. Los alumnos de un grupo realizaron durante el  semestre las actividades alojadas en Moodle conforme se avanzó en el contenido programático, mientras que el otro grupo fue empleado como control sin que participara en las actividades en línea.  Se aplicaron tres evaluaciones parciales con reactivos similares para los dos grupos y se aplicó una prueba de comparación de medias en los promedios finales.</w:t>
      </w:r>
    </w:p>
    <w:p w:rsidR="00B835DD" w:rsidRPr="000207B2" w:rsidRDefault="00B835DD" w:rsidP="00B835DD">
      <w:pPr>
        <w:shd w:val="clear" w:color="auto" w:fill="FFFFFF"/>
        <w:spacing w:after="0" w:line="360" w:lineRule="auto"/>
        <w:jc w:val="both"/>
        <w:rPr>
          <w:rFonts w:ascii="Times New Roman" w:hAnsi="Times New Roman" w:cs="Times New Roman"/>
          <w:sz w:val="24"/>
          <w:szCs w:val="24"/>
          <w:lang w:val="es-ES"/>
        </w:rPr>
      </w:pPr>
    </w:p>
    <w:p w:rsidR="00B835DD" w:rsidRPr="000207B2" w:rsidRDefault="00B835DD" w:rsidP="00B835DD">
      <w:pPr>
        <w:shd w:val="clear" w:color="auto" w:fill="FFFFFF"/>
        <w:spacing w:after="0" w:line="360" w:lineRule="auto"/>
        <w:jc w:val="both"/>
        <w:rPr>
          <w:rFonts w:ascii="Times New Roman" w:hAnsi="Times New Roman" w:cs="Times New Roman"/>
          <w:sz w:val="24"/>
          <w:szCs w:val="24"/>
          <w:lang w:val="es-ES"/>
        </w:rPr>
      </w:pPr>
      <w:r w:rsidRPr="000207B2">
        <w:rPr>
          <w:rFonts w:ascii="Times New Roman" w:hAnsi="Times New Roman" w:cs="Times New Roman"/>
          <w:sz w:val="24"/>
          <w:szCs w:val="24"/>
          <w:lang w:val="es-ES"/>
        </w:rPr>
        <w:t xml:space="preserve">Además se aplicó un cuestionario a los alumnos del grupo experimental con la finalidad de evaluar el grado de satisfacción al realizar este tipo de actividades, así como la preferencia por cada una de ellas. </w:t>
      </w:r>
    </w:p>
    <w:p w:rsidR="00B835DD" w:rsidRPr="000207B2" w:rsidRDefault="00B835DD" w:rsidP="00B835DD">
      <w:pPr>
        <w:shd w:val="clear" w:color="auto" w:fill="FFFFFF"/>
        <w:spacing w:after="0" w:line="360" w:lineRule="auto"/>
        <w:jc w:val="both"/>
        <w:rPr>
          <w:rFonts w:ascii="Times New Roman" w:hAnsi="Times New Roman" w:cs="Times New Roman"/>
          <w:sz w:val="24"/>
          <w:szCs w:val="24"/>
          <w:lang w:val="es-ES"/>
        </w:rPr>
      </w:pPr>
    </w:p>
    <w:p w:rsidR="00B835DD" w:rsidRPr="00B835DD" w:rsidRDefault="00B835DD" w:rsidP="00B835DD">
      <w:pPr>
        <w:shd w:val="clear" w:color="auto" w:fill="FFFFFF"/>
        <w:spacing w:after="0" w:line="360" w:lineRule="auto"/>
        <w:jc w:val="both"/>
        <w:rPr>
          <w:rFonts w:cstheme="minorHAnsi"/>
          <w:sz w:val="24"/>
          <w:szCs w:val="24"/>
          <w:lang w:val="es-ES"/>
        </w:rPr>
      </w:pPr>
      <w:r w:rsidRPr="000207B2">
        <w:rPr>
          <w:rFonts w:ascii="Times New Roman" w:hAnsi="Times New Roman" w:cs="Times New Roman"/>
          <w:sz w:val="24"/>
          <w:szCs w:val="24"/>
          <w:lang w:val="es-ES"/>
        </w:rPr>
        <w:t>Se observó que los alumnos que realizaron las actividades lúdicas diseñadas para el aprendizaje de la bacteriología  aumentaron significativamente (p&lt; 0.05) su calificación promedio en un 12.56% respecto al grupo control (figura 2). Lo anterior evidencia que el empleo el diseño y aplicación de actividades lúdicas en un ambiente virtual es un gran apoyo docente en la enseñanza de las ciencias como es la bacteriología veterinaria.</w:t>
      </w:r>
    </w:p>
    <w:p w:rsidR="00B835DD" w:rsidRPr="00B835DD" w:rsidRDefault="00B835DD" w:rsidP="00B835DD">
      <w:pPr>
        <w:shd w:val="clear" w:color="auto" w:fill="FFFFFF"/>
        <w:spacing w:after="0" w:line="360" w:lineRule="auto"/>
        <w:jc w:val="both"/>
        <w:rPr>
          <w:rFonts w:cstheme="minorHAnsi"/>
          <w:sz w:val="24"/>
          <w:szCs w:val="24"/>
          <w:lang w:val="es-ES"/>
        </w:rPr>
      </w:pPr>
    </w:p>
    <w:p w:rsidR="00B835DD" w:rsidRPr="00B835DD" w:rsidRDefault="00B835DD" w:rsidP="00B835DD">
      <w:pPr>
        <w:shd w:val="clear" w:color="auto" w:fill="FFFFFF"/>
        <w:spacing w:after="0" w:line="360" w:lineRule="auto"/>
        <w:jc w:val="both"/>
        <w:rPr>
          <w:rFonts w:cstheme="minorHAnsi"/>
          <w:sz w:val="24"/>
          <w:szCs w:val="24"/>
          <w:lang w:val="es-ES"/>
        </w:rPr>
      </w:pPr>
    </w:p>
    <w:p w:rsidR="00B835DD" w:rsidRPr="00B835DD" w:rsidRDefault="00B835DD" w:rsidP="000207B2">
      <w:pPr>
        <w:shd w:val="clear" w:color="auto" w:fill="FFFFFF"/>
        <w:spacing w:after="0" w:line="360" w:lineRule="auto"/>
        <w:jc w:val="center"/>
        <w:rPr>
          <w:rFonts w:cstheme="minorHAnsi"/>
          <w:sz w:val="24"/>
          <w:szCs w:val="24"/>
          <w:lang w:val="es-ES"/>
        </w:rPr>
      </w:pPr>
      <w:r w:rsidRPr="00B835DD">
        <w:rPr>
          <w:rFonts w:cstheme="minorHAnsi"/>
          <w:noProof/>
          <w:sz w:val="24"/>
          <w:szCs w:val="24"/>
          <w:lang w:eastAsia="es-MX"/>
        </w:rPr>
        <w:drawing>
          <wp:inline distT="0" distB="0" distL="0" distR="0">
            <wp:extent cx="4933950" cy="2324100"/>
            <wp:effectExtent l="19050" t="0" r="0" b="0"/>
            <wp:docPr id="83"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835DD" w:rsidRPr="00B835DD" w:rsidRDefault="00B835DD" w:rsidP="000207B2">
      <w:pPr>
        <w:shd w:val="clear" w:color="auto" w:fill="FFFFFF"/>
        <w:spacing w:after="0" w:line="360" w:lineRule="auto"/>
        <w:jc w:val="center"/>
        <w:rPr>
          <w:rFonts w:cstheme="minorHAnsi"/>
          <w:b/>
          <w:sz w:val="24"/>
          <w:szCs w:val="24"/>
          <w:lang w:val="es-ES"/>
        </w:rPr>
      </w:pPr>
      <w:r w:rsidRPr="00B835DD">
        <w:rPr>
          <w:rFonts w:cstheme="minorHAnsi"/>
          <w:b/>
          <w:sz w:val="24"/>
          <w:szCs w:val="24"/>
          <w:lang w:val="es-ES"/>
        </w:rPr>
        <w:t>Figura 2.  Calificación promedio obtenida por estudiantes de bacteriología veterinaria</w:t>
      </w:r>
    </w:p>
    <w:p w:rsidR="00B835DD" w:rsidRPr="00B835DD" w:rsidRDefault="00B835DD" w:rsidP="00B835DD">
      <w:pPr>
        <w:shd w:val="clear" w:color="auto" w:fill="FFFFFF"/>
        <w:spacing w:after="0" w:line="360" w:lineRule="auto"/>
        <w:jc w:val="both"/>
        <w:rPr>
          <w:rFonts w:cstheme="minorHAnsi"/>
          <w:sz w:val="24"/>
          <w:szCs w:val="24"/>
          <w:lang w:val="es-ES"/>
        </w:rPr>
      </w:pPr>
    </w:p>
    <w:p w:rsidR="00B835DD" w:rsidRPr="00B835DD" w:rsidRDefault="00B835DD" w:rsidP="000207B2">
      <w:pPr>
        <w:spacing w:after="0" w:line="360" w:lineRule="auto"/>
        <w:jc w:val="both"/>
        <w:rPr>
          <w:rFonts w:cstheme="minorHAnsi"/>
          <w:sz w:val="24"/>
          <w:szCs w:val="24"/>
          <w:lang w:val="es-ES"/>
        </w:rPr>
      </w:pPr>
      <w:r w:rsidRPr="000207B2">
        <w:rPr>
          <w:rFonts w:ascii="Times New Roman" w:hAnsi="Times New Roman" w:cs="Times New Roman"/>
          <w:sz w:val="24"/>
          <w:szCs w:val="24"/>
          <w:lang w:val="es-ES"/>
        </w:rPr>
        <w:t>Respecto al grado de satisfacción en realización de actividades lúdicas de aprendizaje de bacteriología veterinaria, los resultados muestran que para el 78% de los alumnos fue agradable y están satisfechos con ello (figura 3) y que la actividad que más les agradó fueron los crucigramas ya que el 56% los prefirieron (figura 4).</w:t>
      </w:r>
    </w:p>
    <w:p w:rsidR="00B835DD" w:rsidRPr="00B835DD" w:rsidRDefault="00B835DD" w:rsidP="00B835DD">
      <w:pPr>
        <w:tabs>
          <w:tab w:val="left" w:pos="2268"/>
        </w:tabs>
        <w:spacing w:after="0" w:line="360" w:lineRule="auto"/>
        <w:jc w:val="both"/>
        <w:rPr>
          <w:rFonts w:cstheme="minorHAnsi"/>
          <w:sz w:val="24"/>
          <w:szCs w:val="24"/>
          <w:lang w:val="es-ES"/>
        </w:rPr>
      </w:pPr>
    </w:p>
    <w:p w:rsidR="00B835DD" w:rsidRPr="00B835DD" w:rsidRDefault="00B835DD" w:rsidP="00B835DD">
      <w:pPr>
        <w:tabs>
          <w:tab w:val="left" w:pos="2268"/>
        </w:tabs>
        <w:spacing w:after="0" w:line="360" w:lineRule="auto"/>
        <w:jc w:val="both"/>
        <w:rPr>
          <w:rFonts w:cstheme="minorHAnsi"/>
          <w:sz w:val="24"/>
          <w:szCs w:val="24"/>
          <w:lang w:val="es-ES"/>
        </w:rPr>
      </w:pPr>
    </w:p>
    <w:p w:rsidR="00B835DD" w:rsidRPr="00B835DD" w:rsidRDefault="00B835DD" w:rsidP="000207B2">
      <w:pPr>
        <w:tabs>
          <w:tab w:val="left" w:pos="2268"/>
        </w:tabs>
        <w:spacing w:after="0" w:line="360" w:lineRule="auto"/>
        <w:jc w:val="center"/>
        <w:rPr>
          <w:rFonts w:cstheme="minorHAnsi"/>
          <w:sz w:val="24"/>
          <w:szCs w:val="24"/>
          <w:lang w:val="es-ES"/>
        </w:rPr>
      </w:pPr>
      <w:r w:rsidRPr="00B835DD">
        <w:rPr>
          <w:rFonts w:cstheme="minorHAnsi"/>
          <w:noProof/>
          <w:sz w:val="24"/>
          <w:szCs w:val="24"/>
          <w:lang w:eastAsia="es-MX"/>
        </w:rPr>
        <w:drawing>
          <wp:inline distT="0" distB="0" distL="0" distR="0">
            <wp:extent cx="4943475" cy="2619375"/>
            <wp:effectExtent l="19050" t="0" r="0" b="0"/>
            <wp:docPr id="84"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835DD" w:rsidRPr="00B835DD" w:rsidRDefault="00B835DD" w:rsidP="000207B2">
      <w:pPr>
        <w:tabs>
          <w:tab w:val="left" w:pos="2268"/>
        </w:tabs>
        <w:spacing w:after="0" w:line="360" w:lineRule="auto"/>
        <w:jc w:val="center"/>
        <w:rPr>
          <w:rFonts w:cstheme="minorHAnsi"/>
          <w:b/>
          <w:sz w:val="24"/>
          <w:szCs w:val="24"/>
          <w:lang w:val="es-ES"/>
        </w:rPr>
      </w:pPr>
      <w:r w:rsidRPr="00B835DD">
        <w:rPr>
          <w:rFonts w:cstheme="minorHAnsi"/>
          <w:b/>
          <w:sz w:val="24"/>
          <w:szCs w:val="24"/>
          <w:lang w:val="es-ES"/>
        </w:rPr>
        <w:t>Figura 3. Grado de satisfacción por la realización de actividades lúdicas de aprendizaje de bacteriología en línea</w:t>
      </w:r>
    </w:p>
    <w:p w:rsidR="00B835DD" w:rsidRPr="00B835DD" w:rsidRDefault="000207B2" w:rsidP="000207B2">
      <w:pPr>
        <w:tabs>
          <w:tab w:val="left" w:pos="2268"/>
        </w:tabs>
        <w:spacing w:after="0" w:line="360" w:lineRule="auto"/>
        <w:jc w:val="center"/>
        <w:rPr>
          <w:rFonts w:cstheme="minorHAnsi"/>
          <w:sz w:val="24"/>
          <w:szCs w:val="24"/>
          <w:lang w:val="es-ES"/>
        </w:rPr>
      </w:pPr>
      <w:r w:rsidRPr="00B835DD">
        <w:rPr>
          <w:rFonts w:cstheme="minorHAnsi"/>
          <w:noProof/>
          <w:sz w:val="24"/>
          <w:szCs w:val="24"/>
          <w:lang w:eastAsia="es-MX"/>
        </w:rPr>
        <w:lastRenderedPageBreak/>
        <w:drawing>
          <wp:inline distT="0" distB="0" distL="0" distR="0" wp14:anchorId="28E374F2" wp14:editId="390A4281">
            <wp:extent cx="4781550" cy="2971800"/>
            <wp:effectExtent l="19050" t="0" r="0" b="0"/>
            <wp:docPr id="85"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835DD" w:rsidRPr="00B835DD" w:rsidRDefault="00B835DD" w:rsidP="000207B2">
      <w:pPr>
        <w:tabs>
          <w:tab w:val="left" w:pos="2268"/>
        </w:tabs>
        <w:spacing w:after="0" w:line="360" w:lineRule="auto"/>
        <w:jc w:val="center"/>
        <w:rPr>
          <w:rFonts w:cstheme="minorHAnsi"/>
          <w:sz w:val="24"/>
          <w:szCs w:val="24"/>
          <w:lang w:val="es-ES"/>
        </w:rPr>
      </w:pPr>
      <w:r w:rsidRPr="00B835DD">
        <w:rPr>
          <w:rFonts w:cstheme="minorHAnsi"/>
          <w:b/>
          <w:sz w:val="24"/>
          <w:szCs w:val="24"/>
          <w:lang w:val="es-ES"/>
        </w:rPr>
        <w:t>Figura 4. Grado de preferencia por alguna de las actividades de aprendizaje de bacteriología en línea</w:t>
      </w:r>
    </w:p>
    <w:p w:rsidR="000207B2" w:rsidRDefault="000207B2" w:rsidP="000207B2">
      <w:pPr>
        <w:spacing w:after="0" w:line="360" w:lineRule="auto"/>
        <w:jc w:val="both"/>
        <w:rPr>
          <w:rFonts w:ascii="Times New Roman" w:hAnsi="Times New Roman" w:cs="Times New Roman"/>
          <w:sz w:val="24"/>
          <w:szCs w:val="24"/>
          <w:lang w:val="es-ES"/>
        </w:rPr>
      </w:pPr>
    </w:p>
    <w:p w:rsidR="00B835DD" w:rsidRPr="000207B2" w:rsidRDefault="00B835DD" w:rsidP="000207B2">
      <w:pPr>
        <w:spacing w:after="0" w:line="360" w:lineRule="auto"/>
        <w:jc w:val="both"/>
        <w:rPr>
          <w:rFonts w:ascii="Times New Roman" w:hAnsi="Times New Roman" w:cs="Times New Roman"/>
          <w:sz w:val="24"/>
          <w:szCs w:val="24"/>
          <w:lang w:val="es-ES"/>
        </w:rPr>
      </w:pPr>
      <w:r w:rsidRPr="000207B2">
        <w:rPr>
          <w:rFonts w:ascii="Times New Roman" w:hAnsi="Times New Roman" w:cs="Times New Roman"/>
          <w:sz w:val="24"/>
          <w:szCs w:val="24"/>
          <w:lang w:val="es-ES"/>
        </w:rPr>
        <w:t>Los alumnos expresan que las actividades lúdicas en línea para el aprendizaje de la bacteriología veterinaria les ayudaron como repaso para exámenes así como para reforzar las áreas o temas de mayor dificultad.</w:t>
      </w:r>
    </w:p>
    <w:p w:rsidR="00B835DD" w:rsidRPr="00B835DD" w:rsidRDefault="00B835DD" w:rsidP="00B835DD">
      <w:pPr>
        <w:spacing w:after="0" w:line="360" w:lineRule="auto"/>
        <w:jc w:val="both"/>
        <w:rPr>
          <w:rFonts w:eastAsia="Times New Roman" w:cstheme="minorHAnsi"/>
          <w:sz w:val="24"/>
          <w:szCs w:val="24"/>
          <w:lang w:val="es-ES" w:eastAsia="es-MX"/>
        </w:rPr>
      </w:pPr>
    </w:p>
    <w:p w:rsidR="00B835DD" w:rsidRPr="00B835DD" w:rsidRDefault="00B835DD" w:rsidP="00B835DD">
      <w:pPr>
        <w:spacing w:after="0" w:line="360" w:lineRule="auto"/>
        <w:jc w:val="both"/>
        <w:rPr>
          <w:rFonts w:eastAsia="Times New Roman" w:cstheme="minorHAnsi"/>
          <w:color w:val="7030A0"/>
          <w:sz w:val="28"/>
          <w:szCs w:val="24"/>
          <w:lang w:val="es-ES" w:eastAsia="es-MX"/>
        </w:rPr>
      </w:pPr>
      <w:r w:rsidRPr="00B835DD">
        <w:rPr>
          <w:rFonts w:eastAsia="Times New Roman" w:cstheme="minorHAnsi"/>
          <w:color w:val="7030A0"/>
          <w:sz w:val="28"/>
          <w:szCs w:val="24"/>
          <w:lang w:val="es-ES" w:eastAsia="es-MX"/>
        </w:rPr>
        <w:t>Conclusiones</w:t>
      </w:r>
    </w:p>
    <w:p w:rsidR="00B835DD" w:rsidRPr="000207B2" w:rsidRDefault="00B835DD" w:rsidP="00B835DD">
      <w:pPr>
        <w:spacing w:after="0" w:line="360" w:lineRule="auto"/>
        <w:jc w:val="both"/>
        <w:rPr>
          <w:rFonts w:ascii="Times New Roman" w:hAnsi="Times New Roman" w:cs="Times New Roman"/>
          <w:sz w:val="24"/>
          <w:szCs w:val="24"/>
        </w:rPr>
      </w:pPr>
      <w:r w:rsidRPr="000207B2">
        <w:rPr>
          <w:rFonts w:ascii="Times New Roman" w:hAnsi="Times New Roman" w:cs="Times New Roman"/>
          <w:sz w:val="24"/>
          <w:szCs w:val="24"/>
        </w:rPr>
        <w:t>El generar recursos educativos mediante el diseño e implementación de actividades lúdicas en línea facilita el proceso enseñanza aprendizaje, puesto que para el docente significan un apoyo didáctico y para los alumnos les facilita la comprensión y se convierte en un aprendizaje significativo en ciencias, especialmente en la bacteriología veterinaria que contiene gran cantidad de contenidos teóricos y requiere de un esfuerzo considerable de memorización.</w:t>
      </w:r>
    </w:p>
    <w:p w:rsidR="00B835DD" w:rsidRDefault="00B835DD" w:rsidP="00B835DD">
      <w:pPr>
        <w:spacing w:after="0" w:line="360" w:lineRule="auto"/>
        <w:jc w:val="both"/>
        <w:rPr>
          <w:rFonts w:ascii="Times New Roman" w:hAnsi="Times New Roman" w:cs="Times New Roman"/>
          <w:sz w:val="24"/>
          <w:szCs w:val="24"/>
        </w:rPr>
      </w:pPr>
      <w:r w:rsidRPr="000207B2">
        <w:rPr>
          <w:rFonts w:ascii="Times New Roman" w:hAnsi="Times New Roman" w:cs="Times New Roman"/>
          <w:sz w:val="24"/>
          <w:szCs w:val="24"/>
        </w:rPr>
        <w:t xml:space="preserve">El diseño de los pasatiempos en la plataforma </w:t>
      </w:r>
      <w:proofErr w:type="spellStart"/>
      <w:r w:rsidRPr="000207B2">
        <w:rPr>
          <w:rFonts w:ascii="Times New Roman" w:hAnsi="Times New Roman" w:cs="Times New Roman"/>
          <w:sz w:val="24"/>
          <w:szCs w:val="24"/>
        </w:rPr>
        <w:t>Educaplay</w:t>
      </w:r>
      <w:proofErr w:type="spellEnd"/>
      <w:r w:rsidRPr="000207B2">
        <w:rPr>
          <w:rFonts w:ascii="Times New Roman" w:hAnsi="Times New Roman" w:cs="Times New Roman"/>
          <w:sz w:val="24"/>
          <w:szCs w:val="24"/>
        </w:rPr>
        <w:t xml:space="preserve"> y su posterior exportación y alojo en Moodle fue sencillo y satisfactorio. Su aplicación y resolución motivó a los estudiantes para estudiar, les brindó confianza, les permitió identificar y reforzar los temas con mayor grado de dificultad, les resultaron divertidas y satisfactorias, les permitió autoevaluarse y contribuyó a mejorar su desempeño académico.</w:t>
      </w:r>
    </w:p>
    <w:p w:rsidR="000207B2" w:rsidRPr="00B835DD" w:rsidRDefault="000207B2" w:rsidP="00B835DD">
      <w:pPr>
        <w:spacing w:after="0" w:line="360" w:lineRule="auto"/>
        <w:jc w:val="both"/>
        <w:rPr>
          <w:rFonts w:cstheme="minorHAnsi"/>
          <w:sz w:val="24"/>
          <w:szCs w:val="24"/>
        </w:rPr>
      </w:pPr>
      <w:bookmarkStart w:id="0" w:name="_GoBack"/>
      <w:bookmarkEnd w:id="0"/>
    </w:p>
    <w:p w:rsidR="00B835DD" w:rsidRPr="00B835DD" w:rsidRDefault="00B835DD" w:rsidP="00B835DD">
      <w:pPr>
        <w:spacing w:after="0" w:line="360" w:lineRule="auto"/>
        <w:jc w:val="both"/>
        <w:rPr>
          <w:rFonts w:cstheme="minorHAnsi"/>
          <w:iCs/>
          <w:color w:val="7030A0"/>
          <w:sz w:val="28"/>
          <w:szCs w:val="24"/>
          <w:lang w:eastAsia="es-CO"/>
        </w:rPr>
      </w:pPr>
      <w:r w:rsidRPr="00B835DD">
        <w:rPr>
          <w:rFonts w:cstheme="minorHAnsi"/>
          <w:iCs/>
          <w:color w:val="7030A0"/>
          <w:sz w:val="28"/>
          <w:szCs w:val="24"/>
          <w:lang w:eastAsia="es-CO"/>
        </w:rPr>
        <w:lastRenderedPageBreak/>
        <w:t>Bibliografía</w:t>
      </w:r>
    </w:p>
    <w:p w:rsidR="00B835DD" w:rsidRPr="00B835DD" w:rsidRDefault="00B835DD" w:rsidP="00B835DD">
      <w:pPr>
        <w:spacing w:after="0" w:line="360" w:lineRule="auto"/>
        <w:jc w:val="both"/>
        <w:rPr>
          <w:rFonts w:cstheme="minorHAnsi"/>
          <w:b/>
          <w:iCs/>
          <w:sz w:val="24"/>
          <w:szCs w:val="24"/>
          <w:lang w:eastAsia="es-CO"/>
        </w:rPr>
      </w:pPr>
    </w:p>
    <w:p w:rsidR="00B835DD" w:rsidRPr="00B835DD" w:rsidRDefault="00B835DD" w:rsidP="00B835DD">
      <w:pPr>
        <w:spacing w:after="0" w:line="360" w:lineRule="auto"/>
        <w:ind w:left="708" w:hanging="708"/>
        <w:jc w:val="both"/>
        <w:rPr>
          <w:rFonts w:cstheme="minorHAnsi"/>
          <w:iCs/>
          <w:sz w:val="24"/>
          <w:szCs w:val="24"/>
          <w:lang w:eastAsia="es-CO"/>
        </w:rPr>
      </w:pPr>
      <w:proofErr w:type="spellStart"/>
      <w:r w:rsidRPr="00B835DD">
        <w:rPr>
          <w:rFonts w:cstheme="minorHAnsi"/>
          <w:iCs/>
          <w:sz w:val="24"/>
          <w:szCs w:val="24"/>
          <w:lang w:eastAsia="es-CO"/>
        </w:rPr>
        <w:t>Badia</w:t>
      </w:r>
      <w:proofErr w:type="spellEnd"/>
      <w:r w:rsidRPr="00B835DD">
        <w:rPr>
          <w:rFonts w:cstheme="minorHAnsi"/>
          <w:iCs/>
          <w:sz w:val="24"/>
          <w:szCs w:val="24"/>
          <w:lang w:eastAsia="es-CO"/>
        </w:rPr>
        <w:t xml:space="preserve">, A.  (2006). Ayuda al aprendizaje con tecnología en la educación superior. </w:t>
      </w:r>
      <w:r w:rsidRPr="00B835DD">
        <w:rPr>
          <w:rFonts w:cstheme="minorHAnsi"/>
          <w:i/>
          <w:iCs/>
          <w:sz w:val="24"/>
          <w:szCs w:val="24"/>
          <w:lang w:eastAsia="es-CO"/>
        </w:rPr>
        <w:t>Revista de Universidad y Sociedad del conocimiento</w:t>
      </w:r>
      <w:r w:rsidRPr="00B835DD">
        <w:rPr>
          <w:rFonts w:cstheme="minorHAnsi"/>
          <w:iCs/>
          <w:sz w:val="24"/>
          <w:szCs w:val="24"/>
          <w:lang w:eastAsia="es-CO"/>
        </w:rPr>
        <w:t>. España, 2. ISSN: 1698-580. España</w:t>
      </w:r>
    </w:p>
    <w:p w:rsidR="00B835DD" w:rsidRPr="00B835DD" w:rsidRDefault="00B835DD" w:rsidP="00B835DD">
      <w:pPr>
        <w:spacing w:after="0" w:line="360" w:lineRule="auto"/>
        <w:ind w:left="708" w:hanging="708"/>
        <w:jc w:val="both"/>
        <w:rPr>
          <w:rFonts w:cstheme="minorHAnsi"/>
          <w:iCs/>
          <w:sz w:val="24"/>
          <w:szCs w:val="24"/>
          <w:lang w:eastAsia="es-CO"/>
        </w:rPr>
      </w:pPr>
      <w:r w:rsidRPr="00B835DD">
        <w:rPr>
          <w:rFonts w:cstheme="minorHAnsi"/>
          <w:iCs/>
          <w:sz w:val="24"/>
          <w:szCs w:val="24"/>
          <w:lang w:eastAsia="es-CO"/>
        </w:rPr>
        <w:t xml:space="preserve">Ferro, C. (2009).  Ventajas del uso de las TIC en el proceso de enseñanza aprendizaje desde la óptica de los docentes universitarios españoles. </w:t>
      </w:r>
      <w:r w:rsidRPr="00B835DD">
        <w:rPr>
          <w:rFonts w:cstheme="minorHAnsi"/>
          <w:i/>
          <w:iCs/>
          <w:sz w:val="24"/>
          <w:szCs w:val="24"/>
          <w:lang w:eastAsia="es-CO"/>
        </w:rPr>
        <w:t>Revista Electrónica de Tecnología Educativa</w:t>
      </w:r>
      <w:r w:rsidRPr="00B835DD">
        <w:rPr>
          <w:rFonts w:cstheme="minorHAnsi"/>
          <w:iCs/>
          <w:sz w:val="24"/>
          <w:szCs w:val="24"/>
          <w:lang w:eastAsia="es-CO"/>
        </w:rPr>
        <w:t xml:space="preserve">. 29,  ISSN: 1135-9250. </w:t>
      </w:r>
    </w:p>
    <w:p w:rsidR="00B835DD" w:rsidRPr="00B835DD" w:rsidRDefault="00B835DD" w:rsidP="00B835DD">
      <w:pPr>
        <w:spacing w:after="0" w:line="360" w:lineRule="auto"/>
        <w:ind w:left="708" w:hanging="708"/>
        <w:jc w:val="both"/>
        <w:rPr>
          <w:rFonts w:cstheme="minorHAnsi"/>
          <w:sz w:val="24"/>
          <w:szCs w:val="24"/>
          <w:lang w:val="en-US"/>
        </w:rPr>
      </w:pPr>
      <w:r w:rsidRPr="00B835DD">
        <w:rPr>
          <w:rFonts w:cstheme="minorHAnsi"/>
          <w:sz w:val="24"/>
          <w:szCs w:val="24"/>
          <w:lang w:val="es-ES"/>
        </w:rPr>
        <w:t xml:space="preserve">Lomas, C. (1999). </w:t>
      </w:r>
      <w:r w:rsidRPr="00B835DD">
        <w:rPr>
          <w:rFonts w:cstheme="minorHAnsi"/>
          <w:i/>
          <w:sz w:val="24"/>
          <w:szCs w:val="24"/>
          <w:lang w:val="es-ES"/>
        </w:rPr>
        <w:t>Cómo enseñar a hacer las cosas con palabras: teoría y práctica de la evaluación lingüística</w:t>
      </w:r>
      <w:r w:rsidRPr="00B835DD">
        <w:rPr>
          <w:rFonts w:cstheme="minorHAnsi"/>
          <w:sz w:val="24"/>
          <w:szCs w:val="24"/>
          <w:lang w:val="es-ES"/>
        </w:rPr>
        <w:t xml:space="preserve">. </w:t>
      </w:r>
      <w:r w:rsidRPr="00B835DD">
        <w:rPr>
          <w:rFonts w:cstheme="minorHAnsi"/>
          <w:sz w:val="24"/>
          <w:szCs w:val="24"/>
          <w:lang w:val="en-US"/>
        </w:rPr>
        <w:t xml:space="preserve">Barcelona, </w:t>
      </w:r>
      <w:proofErr w:type="spellStart"/>
      <w:r w:rsidRPr="00B835DD">
        <w:rPr>
          <w:rFonts w:cstheme="minorHAnsi"/>
          <w:sz w:val="24"/>
          <w:szCs w:val="24"/>
          <w:lang w:val="en-US"/>
        </w:rPr>
        <w:t>España</w:t>
      </w:r>
      <w:proofErr w:type="spellEnd"/>
      <w:r w:rsidRPr="00B835DD">
        <w:rPr>
          <w:rFonts w:cstheme="minorHAnsi"/>
          <w:sz w:val="24"/>
          <w:szCs w:val="24"/>
          <w:lang w:val="en-US"/>
        </w:rPr>
        <w:t xml:space="preserve">: </w:t>
      </w:r>
      <w:proofErr w:type="spellStart"/>
      <w:r w:rsidRPr="00B835DD">
        <w:rPr>
          <w:rFonts w:cstheme="minorHAnsi"/>
          <w:sz w:val="24"/>
          <w:szCs w:val="24"/>
          <w:lang w:val="en-US"/>
        </w:rPr>
        <w:t>Ediciones</w:t>
      </w:r>
      <w:proofErr w:type="spellEnd"/>
      <w:r w:rsidRPr="00B835DD">
        <w:rPr>
          <w:rFonts w:cstheme="minorHAnsi"/>
          <w:sz w:val="24"/>
          <w:szCs w:val="24"/>
          <w:lang w:val="en-US"/>
        </w:rPr>
        <w:t xml:space="preserve"> </w:t>
      </w:r>
      <w:proofErr w:type="spellStart"/>
      <w:r w:rsidRPr="00B835DD">
        <w:rPr>
          <w:rFonts w:cstheme="minorHAnsi"/>
          <w:sz w:val="24"/>
          <w:szCs w:val="24"/>
          <w:lang w:val="en-US"/>
        </w:rPr>
        <w:t>Paidós</w:t>
      </w:r>
      <w:proofErr w:type="spellEnd"/>
      <w:r w:rsidRPr="00B835DD">
        <w:rPr>
          <w:rFonts w:cstheme="minorHAnsi"/>
          <w:sz w:val="24"/>
          <w:szCs w:val="24"/>
          <w:lang w:val="en-US"/>
        </w:rPr>
        <w:t xml:space="preserve"> </w:t>
      </w:r>
      <w:proofErr w:type="spellStart"/>
      <w:r w:rsidRPr="00B835DD">
        <w:rPr>
          <w:rFonts w:cstheme="minorHAnsi"/>
          <w:sz w:val="24"/>
          <w:szCs w:val="24"/>
          <w:lang w:val="en-US"/>
        </w:rPr>
        <w:t>Ibérica</w:t>
      </w:r>
      <w:proofErr w:type="spellEnd"/>
      <w:r w:rsidRPr="00B835DD">
        <w:rPr>
          <w:rFonts w:cstheme="minorHAnsi"/>
          <w:sz w:val="24"/>
          <w:szCs w:val="24"/>
          <w:lang w:val="en-US"/>
        </w:rPr>
        <w:t>.</w:t>
      </w:r>
    </w:p>
    <w:p w:rsidR="00B835DD" w:rsidRPr="00B835DD" w:rsidRDefault="00B835DD" w:rsidP="00B835DD">
      <w:pPr>
        <w:spacing w:after="0" w:line="360" w:lineRule="auto"/>
        <w:ind w:left="708" w:hanging="708"/>
        <w:jc w:val="both"/>
        <w:rPr>
          <w:rFonts w:cstheme="minorHAnsi"/>
          <w:sz w:val="24"/>
          <w:szCs w:val="24"/>
        </w:rPr>
      </w:pPr>
      <w:proofErr w:type="spellStart"/>
      <w:r w:rsidRPr="00B835DD">
        <w:rPr>
          <w:rFonts w:cstheme="minorHAnsi"/>
          <w:sz w:val="24"/>
          <w:szCs w:val="24"/>
          <w:lang w:val="en-US"/>
        </w:rPr>
        <w:t>McKeachie</w:t>
      </w:r>
      <w:proofErr w:type="spellEnd"/>
      <w:r w:rsidRPr="00B835DD">
        <w:rPr>
          <w:rFonts w:cstheme="minorHAnsi"/>
          <w:sz w:val="24"/>
          <w:szCs w:val="24"/>
          <w:lang w:val="en-US"/>
        </w:rPr>
        <w:t xml:space="preserve">, W.J. (2002). </w:t>
      </w:r>
      <w:r w:rsidRPr="00B835DD">
        <w:rPr>
          <w:rFonts w:cstheme="minorHAnsi"/>
          <w:i/>
          <w:sz w:val="24"/>
          <w:szCs w:val="24"/>
          <w:lang w:val="en-US"/>
        </w:rPr>
        <w:t>Teaching tips: Strategies, research, and theory for college and university teachers</w:t>
      </w:r>
      <w:r w:rsidRPr="00B835DD">
        <w:rPr>
          <w:rFonts w:cstheme="minorHAnsi"/>
          <w:sz w:val="24"/>
          <w:szCs w:val="24"/>
          <w:lang w:val="en-US"/>
        </w:rPr>
        <w:t xml:space="preserve">. </w:t>
      </w:r>
      <w:r w:rsidRPr="00B835DD">
        <w:rPr>
          <w:rFonts w:cstheme="minorHAnsi"/>
          <w:sz w:val="24"/>
          <w:szCs w:val="24"/>
        </w:rPr>
        <w:t xml:space="preserve">Boston: Editorial, W: J: </w:t>
      </w:r>
      <w:proofErr w:type="spellStart"/>
      <w:r w:rsidRPr="00B835DD">
        <w:rPr>
          <w:rFonts w:cstheme="minorHAnsi"/>
          <w:sz w:val="24"/>
          <w:szCs w:val="24"/>
        </w:rPr>
        <w:t>McKeachie</w:t>
      </w:r>
      <w:proofErr w:type="spellEnd"/>
      <w:r w:rsidRPr="00B835DD">
        <w:rPr>
          <w:rFonts w:cstheme="minorHAnsi"/>
          <w:sz w:val="24"/>
          <w:szCs w:val="24"/>
        </w:rPr>
        <w:t>.</w:t>
      </w:r>
    </w:p>
    <w:p w:rsidR="00B835DD" w:rsidRPr="00B835DD" w:rsidRDefault="00B835DD" w:rsidP="00B835DD">
      <w:pPr>
        <w:spacing w:after="0" w:line="360" w:lineRule="auto"/>
        <w:ind w:left="708" w:hanging="708"/>
        <w:jc w:val="both"/>
        <w:rPr>
          <w:rFonts w:cstheme="minorHAnsi"/>
          <w:sz w:val="24"/>
          <w:szCs w:val="24"/>
          <w:lang w:val="es-ES"/>
        </w:rPr>
      </w:pPr>
      <w:r w:rsidRPr="00B835DD">
        <w:rPr>
          <w:rFonts w:cstheme="minorHAnsi"/>
          <w:sz w:val="24"/>
          <w:szCs w:val="24"/>
          <w:lang w:val="es-ES"/>
        </w:rPr>
        <w:t xml:space="preserve">Olivares G.J.C., Escalante A. M.  Escalera P.R., Campero L. (2008).  Los Crucigramas en el aprendizaje electromagnético. </w:t>
      </w:r>
      <w:r w:rsidRPr="00B835DD">
        <w:rPr>
          <w:rFonts w:cstheme="minorHAnsi"/>
          <w:i/>
          <w:sz w:val="24"/>
          <w:szCs w:val="24"/>
          <w:lang w:val="es-ES"/>
        </w:rPr>
        <w:t>Revista de Enseñanza y Divulgación de las Ciencias</w:t>
      </w:r>
      <w:r w:rsidRPr="00B835DD">
        <w:rPr>
          <w:rFonts w:cstheme="minorHAnsi"/>
          <w:sz w:val="24"/>
          <w:szCs w:val="24"/>
          <w:lang w:val="es-ES"/>
        </w:rPr>
        <w:t xml:space="preserve">, 5 (3), </w:t>
      </w:r>
      <w:proofErr w:type="spellStart"/>
      <w:r w:rsidRPr="00B835DD">
        <w:rPr>
          <w:rFonts w:cstheme="minorHAnsi"/>
          <w:sz w:val="24"/>
          <w:szCs w:val="24"/>
          <w:lang w:val="es-ES"/>
        </w:rPr>
        <w:t>pp</w:t>
      </w:r>
      <w:proofErr w:type="spellEnd"/>
      <w:r w:rsidRPr="00B835DD">
        <w:rPr>
          <w:rFonts w:cstheme="minorHAnsi"/>
          <w:sz w:val="24"/>
          <w:szCs w:val="24"/>
          <w:lang w:val="es-ES"/>
        </w:rPr>
        <w:t xml:space="preserve"> 334-346.</w:t>
      </w:r>
    </w:p>
    <w:p w:rsidR="00C25A3D" w:rsidRPr="00B835DD" w:rsidRDefault="00C25A3D" w:rsidP="00B835DD">
      <w:pPr>
        <w:spacing w:after="0" w:line="360" w:lineRule="auto"/>
        <w:jc w:val="both"/>
        <w:rPr>
          <w:rFonts w:cstheme="minorHAnsi"/>
          <w:sz w:val="24"/>
          <w:szCs w:val="24"/>
        </w:rPr>
      </w:pPr>
    </w:p>
    <w:sectPr w:rsidR="00C25A3D" w:rsidRPr="00B835DD" w:rsidSect="000207B2">
      <w:headerReference w:type="default" r:id="rId13"/>
      <w:footerReference w:type="default" r:id="rId14"/>
      <w:pgSz w:w="12240" w:h="15840"/>
      <w:pgMar w:top="1440" w:right="1467" w:bottom="1440" w:left="1418" w:header="708" w:footer="82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41F" w:rsidRDefault="00B7741F" w:rsidP="0024791E">
      <w:pPr>
        <w:spacing w:after="0" w:line="240" w:lineRule="auto"/>
      </w:pPr>
      <w:r>
        <w:separator/>
      </w:r>
    </w:p>
  </w:endnote>
  <w:endnote w:type="continuationSeparator" w:id="0">
    <w:p w:rsidR="00B7741F" w:rsidRDefault="00B7741F" w:rsidP="00247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A3D" w:rsidRDefault="000207B2" w:rsidP="000207B2">
    <w:pPr>
      <w:pStyle w:val="Piedepgina"/>
      <w:jc w:val="center"/>
    </w:pPr>
    <w:r>
      <w:rPr>
        <w:rFonts w:ascii="Calibri" w:eastAsia="Calibri" w:hAnsi="Calibri" w:cs="Calibri"/>
        <w:b/>
      </w:rPr>
      <w:t xml:space="preserve">Vol. 1, Núm. </w:t>
    </w:r>
    <w:r>
      <w:rPr>
        <w:rFonts w:ascii="Calibri" w:eastAsia="Calibri" w:hAnsi="Calibri" w:cs="Calibri"/>
        <w:b/>
      </w:rPr>
      <w:t>2</w:t>
    </w:r>
    <w:r w:rsidRPr="00DB0B18">
      <w:rPr>
        <w:rFonts w:ascii="Calibri" w:eastAsia="Calibri" w:hAnsi="Calibri" w:cs="Calibri"/>
        <w:b/>
      </w:rPr>
      <w:t xml:space="preserve">                   </w:t>
    </w:r>
    <w:r>
      <w:rPr>
        <w:rFonts w:ascii="Calibri" w:eastAsia="Calibri" w:hAnsi="Calibri" w:cs="Calibri"/>
        <w:b/>
      </w:rPr>
      <w:t xml:space="preserve">Julio – Diciembre </w:t>
    </w:r>
    <w:r>
      <w:rPr>
        <w:rFonts w:ascii="Calibri" w:eastAsia="Calibri" w:hAnsi="Calibri" w:cs="Calibri"/>
        <w:b/>
      </w:rPr>
      <w:t xml:space="preserve"> 2014</w:t>
    </w:r>
    <w:r w:rsidRPr="00DB0B18">
      <w:rPr>
        <w:rFonts w:ascii="Calibri" w:eastAsia="Calibri" w:hAnsi="Calibri" w:cs="Calibri"/>
        <w:b/>
      </w:rPr>
      <w:t xml:space="preserve">         </w:t>
    </w:r>
    <w:r>
      <w:rPr>
        <w:rFonts w:ascii="Calibri" w:eastAsia="Calibri" w:hAnsi="Calibri" w:cs="Calibri"/>
        <w:b/>
      </w:rPr>
      <w:t>CEMYS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41F" w:rsidRDefault="00B7741F" w:rsidP="0024791E">
      <w:pPr>
        <w:spacing w:after="0" w:line="240" w:lineRule="auto"/>
      </w:pPr>
      <w:r>
        <w:separator/>
      </w:r>
    </w:p>
  </w:footnote>
  <w:footnote w:type="continuationSeparator" w:id="0">
    <w:p w:rsidR="00B7741F" w:rsidRDefault="00B7741F" w:rsidP="002479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A3D" w:rsidRPr="0024791E" w:rsidRDefault="000207B2" w:rsidP="000207B2">
    <w:pPr>
      <w:autoSpaceDE w:val="0"/>
      <w:autoSpaceDN w:val="0"/>
      <w:adjustRightInd w:val="0"/>
      <w:spacing w:after="0" w:line="240" w:lineRule="auto"/>
      <w:jc w:val="center"/>
      <w:rPr>
        <w:rFonts w:ascii="Times New Roman" w:hAnsi="Times New Roman" w:cs="Times New Roman"/>
        <w:b/>
        <w:bCs/>
      </w:rPr>
    </w:pPr>
    <w:r w:rsidRPr="004C037E">
      <w:rPr>
        <w:rFonts w:cstheme="minorHAnsi"/>
        <w:b/>
        <w:i/>
      </w:rPr>
      <w:t xml:space="preserve">Revista </w:t>
    </w:r>
    <w:r>
      <w:rPr>
        <w:rFonts w:cstheme="minorHAnsi"/>
        <w:b/>
        <w:i/>
      </w:rPr>
      <w:t>Electrónica sobre Educación Media y Superior</w:t>
    </w:r>
    <w:r>
      <w:rPr>
        <w:b/>
      </w:rPr>
      <w:t xml:space="preserve">  </w:t>
    </w:r>
    <w:r w:rsidRPr="0028282C">
      <w:t xml:space="preserve">    </w:t>
    </w:r>
    <w:r>
      <w:t xml:space="preserve">         </w:t>
    </w:r>
    <w:r>
      <w:rPr>
        <w:rFonts w:ascii="Calibri" w:eastAsia="Calibri" w:hAnsi="Calibri" w:cs="Calibri"/>
        <w:b/>
      </w:rPr>
      <w:t>ISSN: 2488 - 6507</w:t>
    </w:r>
  </w:p>
  <w:p w:rsidR="00C25A3D" w:rsidRPr="0024791E" w:rsidRDefault="00C25A3D" w:rsidP="0024791E">
    <w:pPr>
      <w:pStyle w:val="Encabezado"/>
      <w:ind w:left="-851" w:firstLine="851"/>
      <w:rPr>
        <w:sz w:val="24"/>
        <w:szCs w:val="24"/>
      </w:rPr>
    </w:pPr>
  </w:p>
  <w:p w:rsidR="00C25A3D" w:rsidRDefault="00C25A3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C21539"/>
    <w:multiLevelType w:val="hybridMultilevel"/>
    <w:tmpl w:val="C7E29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F53777F"/>
    <w:multiLevelType w:val="hybridMultilevel"/>
    <w:tmpl w:val="AC34DDD4"/>
    <w:lvl w:ilvl="0" w:tplc="C22EF8BA">
      <w:start w:val="1"/>
      <w:numFmt w:val="lowerLetter"/>
      <w:lvlText w:val="%1)"/>
      <w:lvlJc w:val="left"/>
      <w:pPr>
        <w:ind w:left="1708" w:hanging="1000"/>
      </w:pPr>
      <w:rPr>
        <w:rFonts w:cs="Aria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4791E"/>
    <w:rsid w:val="000207B2"/>
    <w:rsid w:val="00053BB3"/>
    <w:rsid w:val="00156EED"/>
    <w:rsid w:val="001C44D8"/>
    <w:rsid w:val="001F4884"/>
    <w:rsid w:val="00213BC8"/>
    <w:rsid w:val="0024791E"/>
    <w:rsid w:val="006C5877"/>
    <w:rsid w:val="007563E7"/>
    <w:rsid w:val="00843BDB"/>
    <w:rsid w:val="00A441D2"/>
    <w:rsid w:val="00AB5C70"/>
    <w:rsid w:val="00B7741F"/>
    <w:rsid w:val="00B835DD"/>
    <w:rsid w:val="00C25A3D"/>
    <w:rsid w:val="00CD7031"/>
    <w:rsid w:val="00D05547"/>
    <w:rsid w:val="00D12F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EE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79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791E"/>
  </w:style>
  <w:style w:type="paragraph" w:styleId="Piedepgina">
    <w:name w:val="footer"/>
    <w:basedOn w:val="Normal"/>
    <w:link w:val="PiedepginaCar"/>
    <w:uiPriority w:val="99"/>
    <w:unhideWhenUsed/>
    <w:rsid w:val="002479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791E"/>
  </w:style>
  <w:style w:type="paragraph" w:styleId="Textodeglobo">
    <w:name w:val="Balloon Text"/>
    <w:basedOn w:val="Normal"/>
    <w:link w:val="TextodegloboCar"/>
    <w:uiPriority w:val="99"/>
    <w:semiHidden/>
    <w:unhideWhenUsed/>
    <w:rsid w:val="0024791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791E"/>
    <w:rPr>
      <w:rFonts w:ascii="Tahoma" w:hAnsi="Tahoma" w:cs="Tahoma"/>
      <w:sz w:val="16"/>
      <w:szCs w:val="16"/>
    </w:rPr>
  </w:style>
  <w:style w:type="paragraph" w:styleId="Sinespaciado">
    <w:name w:val="No Spacing"/>
    <w:link w:val="SinespaciadoCar"/>
    <w:uiPriority w:val="1"/>
    <w:qFormat/>
    <w:rsid w:val="00AB5C70"/>
    <w:pPr>
      <w:spacing w:after="0" w:line="240" w:lineRule="auto"/>
    </w:pPr>
    <w:rPr>
      <w:rFonts w:ascii="Arial" w:hAnsi="Arial" w:cs="Arial"/>
      <w:sz w:val="24"/>
      <w:szCs w:val="24"/>
      <w:lang w:val="es-ES"/>
    </w:rPr>
  </w:style>
  <w:style w:type="character" w:customStyle="1" w:styleId="SinespaciadoCar">
    <w:name w:val="Sin espaciado Car"/>
    <w:basedOn w:val="Fuentedeprrafopredeter"/>
    <w:link w:val="Sinespaciado"/>
    <w:uiPriority w:val="1"/>
    <w:rsid w:val="00AB5C70"/>
    <w:rPr>
      <w:rFonts w:ascii="Arial" w:hAnsi="Arial" w:cs="Arial"/>
      <w:sz w:val="24"/>
      <w:szCs w:val="24"/>
      <w:lang w:val="es-ES"/>
    </w:rPr>
  </w:style>
  <w:style w:type="character" w:styleId="Hipervnculo">
    <w:name w:val="Hyperlink"/>
    <w:basedOn w:val="Fuentedeprrafopredeter"/>
    <w:uiPriority w:val="99"/>
    <w:unhideWhenUsed/>
    <w:rsid w:val="00AB5C70"/>
    <w:rPr>
      <w:color w:val="0000FF" w:themeColor="hyperlink"/>
      <w:u w:val="single"/>
    </w:rPr>
  </w:style>
  <w:style w:type="paragraph" w:styleId="Prrafodelista">
    <w:name w:val="List Paragraph"/>
    <w:basedOn w:val="Normal"/>
    <w:uiPriority w:val="34"/>
    <w:qFormat/>
    <w:rsid w:val="00AB5C70"/>
    <w:pPr>
      <w:spacing w:after="0" w:line="240" w:lineRule="auto"/>
      <w:ind w:left="720"/>
      <w:contextualSpacing/>
    </w:pPr>
    <w:rPr>
      <w:rFonts w:eastAsiaTheme="minorEastAsia"/>
      <w:sz w:val="24"/>
      <w:szCs w:val="24"/>
      <w:lang w:val="es-ES_tradnl" w:eastAsia="es-ES"/>
    </w:rPr>
  </w:style>
  <w:style w:type="paragraph" w:styleId="Textonotapie">
    <w:name w:val="footnote text"/>
    <w:basedOn w:val="Normal"/>
    <w:link w:val="TextonotapieCar"/>
    <w:uiPriority w:val="99"/>
    <w:unhideWhenUsed/>
    <w:rsid w:val="00AB5C70"/>
    <w:pPr>
      <w:spacing w:after="0" w:line="240" w:lineRule="auto"/>
    </w:pPr>
    <w:rPr>
      <w:rFonts w:eastAsiaTheme="minorEastAsia"/>
      <w:sz w:val="24"/>
      <w:szCs w:val="24"/>
      <w:lang w:val="es-ES_tradnl" w:eastAsia="es-ES"/>
    </w:rPr>
  </w:style>
  <w:style w:type="character" w:customStyle="1" w:styleId="TextonotapieCar">
    <w:name w:val="Texto nota pie Car"/>
    <w:basedOn w:val="Fuentedeprrafopredeter"/>
    <w:link w:val="Textonotapie"/>
    <w:uiPriority w:val="99"/>
    <w:rsid w:val="00AB5C70"/>
    <w:rPr>
      <w:rFonts w:eastAsiaTheme="minorEastAsia"/>
      <w:sz w:val="24"/>
      <w:szCs w:val="24"/>
      <w:lang w:val="es-ES_tradnl" w:eastAsia="es-ES"/>
    </w:rPr>
  </w:style>
  <w:style w:type="character" w:styleId="Refdenotaalpie">
    <w:name w:val="footnote reference"/>
    <w:basedOn w:val="Fuentedeprrafopredeter"/>
    <w:uiPriority w:val="99"/>
    <w:unhideWhenUsed/>
    <w:rsid w:val="00AB5C70"/>
    <w:rPr>
      <w:vertAlign w:val="superscript"/>
    </w:rPr>
  </w:style>
  <w:style w:type="paragraph" w:customStyle="1" w:styleId="Referencias">
    <w:name w:val="Referencias"/>
    <w:basedOn w:val="Normal"/>
    <w:qFormat/>
    <w:rsid w:val="00AB5C70"/>
    <w:pPr>
      <w:spacing w:after="0" w:line="480" w:lineRule="auto"/>
      <w:ind w:left="709" w:hanging="709"/>
      <w:contextualSpacing/>
    </w:pPr>
    <w:rPr>
      <w:rFonts w:ascii="Arial" w:hAnsi="Arial" w:cs="Times New Roman"/>
      <w:sz w:val="24"/>
      <w:szCs w:val="24"/>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caplay.com"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Hoja1!$B$1</c:f>
              <c:strCache>
                <c:ptCount val="1"/>
                <c:pt idx="0">
                  <c:v>Columna1</c:v>
                </c:pt>
              </c:strCache>
            </c:strRef>
          </c:tx>
          <c:invertIfNegative val="0"/>
          <c:cat>
            <c:strRef>
              <c:f>Hoja1!$A$2:$A$3</c:f>
              <c:strCache>
                <c:ptCount val="2"/>
                <c:pt idx="0">
                  <c:v>Gpo. Control</c:v>
                </c:pt>
                <c:pt idx="1">
                  <c:v>Gpo. Experimental</c:v>
                </c:pt>
              </c:strCache>
            </c:strRef>
          </c:cat>
          <c:val>
            <c:numRef>
              <c:f>Hoja1!$B$2:$B$3</c:f>
              <c:numCache>
                <c:formatCode>General</c:formatCode>
                <c:ptCount val="2"/>
                <c:pt idx="0">
                  <c:v>78.2</c:v>
                </c:pt>
                <c:pt idx="1">
                  <c:v>63.5</c:v>
                </c:pt>
              </c:numCache>
            </c:numRef>
          </c:val>
        </c:ser>
        <c:dLbls>
          <c:showLegendKey val="0"/>
          <c:showVal val="0"/>
          <c:showCatName val="0"/>
          <c:showSerName val="0"/>
          <c:showPercent val="0"/>
          <c:showBubbleSize val="0"/>
        </c:dLbls>
        <c:gapWidth val="150"/>
        <c:shape val="box"/>
        <c:axId val="56981376"/>
        <c:axId val="56982912"/>
        <c:axId val="0"/>
      </c:bar3DChart>
      <c:catAx>
        <c:axId val="56981376"/>
        <c:scaling>
          <c:orientation val="minMax"/>
        </c:scaling>
        <c:delete val="0"/>
        <c:axPos val="b"/>
        <c:majorTickMark val="none"/>
        <c:minorTickMark val="none"/>
        <c:tickLblPos val="nextTo"/>
        <c:txPr>
          <a:bodyPr/>
          <a:lstStyle/>
          <a:p>
            <a:pPr>
              <a:defRPr sz="1100" b="1"/>
            </a:pPr>
            <a:endParaRPr lang="es-MX"/>
          </a:p>
        </c:txPr>
        <c:crossAx val="56982912"/>
        <c:crosses val="autoZero"/>
        <c:auto val="1"/>
        <c:lblAlgn val="ctr"/>
        <c:lblOffset val="100"/>
        <c:noMultiLvlLbl val="0"/>
      </c:catAx>
      <c:valAx>
        <c:axId val="56982912"/>
        <c:scaling>
          <c:orientation val="minMax"/>
        </c:scaling>
        <c:delete val="0"/>
        <c:axPos val="l"/>
        <c:majorGridlines/>
        <c:title>
          <c:tx>
            <c:rich>
              <a:bodyPr/>
              <a:lstStyle/>
              <a:p>
                <a:pPr>
                  <a:defRPr/>
                </a:pPr>
                <a:r>
                  <a:rPr lang="es-MX"/>
                  <a:t>Calificación</a:t>
                </a:r>
              </a:p>
            </c:rich>
          </c:tx>
          <c:overlay val="0"/>
        </c:title>
        <c:numFmt formatCode="General" sourceLinked="1"/>
        <c:majorTickMark val="none"/>
        <c:minorTickMark val="none"/>
        <c:tickLblPos val="nextTo"/>
        <c:crossAx val="56981376"/>
        <c:crosses val="autoZero"/>
        <c:crossBetween val="between"/>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Hoja1!$B$1</c:f>
              <c:strCache>
                <c:ptCount val="1"/>
                <c:pt idx="0">
                  <c:v>Columna1</c:v>
                </c:pt>
              </c:strCache>
            </c:strRef>
          </c:tx>
          <c:dLbls>
            <c:dLbl>
              <c:idx val="0"/>
              <c:layout>
                <c:manualLayout>
                  <c:x val="-0.22943861184018671"/>
                  <c:y val="-0.12934508186476718"/>
                </c:manualLayout>
              </c:layout>
              <c:showLegendKey val="0"/>
              <c:showVal val="0"/>
              <c:showCatName val="1"/>
              <c:showSerName val="0"/>
              <c:showPercent val="1"/>
              <c:showBubbleSize val="0"/>
            </c:dLbl>
            <c:txPr>
              <a:bodyPr/>
              <a:lstStyle/>
              <a:p>
                <a:pPr>
                  <a:defRPr sz="1100" b="1"/>
                </a:pPr>
                <a:endParaRPr lang="es-MX"/>
              </a:p>
            </c:txPr>
            <c:showLegendKey val="0"/>
            <c:showVal val="0"/>
            <c:showCatName val="1"/>
            <c:showSerName val="0"/>
            <c:showPercent val="1"/>
            <c:showBubbleSize val="0"/>
            <c:showLeaderLines val="1"/>
          </c:dLbls>
          <c:cat>
            <c:strRef>
              <c:f>Hoja1!$A$2:$A$5</c:f>
              <c:strCache>
                <c:ptCount val="4"/>
                <c:pt idx="0">
                  <c:v>Muy satisfecho</c:v>
                </c:pt>
                <c:pt idx="1">
                  <c:v>Satisfecho</c:v>
                </c:pt>
                <c:pt idx="2">
                  <c:v>Poco satisfecho</c:v>
                </c:pt>
                <c:pt idx="3">
                  <c:v>Nada satisfecho</c:v>
                </c:pt>
              </c:strCache>
            </c:strRef>
          </c:cat>
          <c:val>
            <c:numRef>
              <c:f>Hoja1!$B$2:$B$5</c:f>
              <c:numCache>
                <c:formatCode>General</c:formatCode>
                <c:ptCount val="4"/>
                <c:pt idx="0">
                  <c:v>52</c:v>
                </c:pt>
                <c:pt idx="1">
                  <c:v>26</c:v>
                </c:pt>
                <c:pt idx="2">
                  <c:v>22</c:v>
                </c:pt>
                <c:pt idx="3">
                  <c:v>0</c:v>
                </c:pt>
              </c:numCache>
            </c:numRef>
          </c:val>
        </c:ser>
        <c:dLbls>
          <c:showLegendKey val="0"/>
          <c:showVal val="0"/>
          <c:showCatName val="1"/>
          <c:showSerName val="0"/>
          <c:showPercent val="1"/>
          <c:showBubbleSize val="0"/>
          <c:showLeaderLines val="1"/>
        </c:dLbls>
      </c:pie3DChart>
    </c:plotArea>
    <c:plotVisOnly val="1"/>
    <c:dispBlanksAs val="zero"/>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7.2232312201850682E-2"/>
          <c:y val="0.10721528711350121"/>
          <c:w val="0.83850374542598238"/>
          <c:h val="0.80182958837462392"/>
        </c:manualLayout>
      </c:layout>
      <c:pie3DChart>
        <c:varyColors val="1"/>
        <c:ser>
          <c:idx val="0"/>
          <c:order val="0"/>
          <c:tx>
            <c:strRef>
              <c:f>Hoja1!$B$1</c:f>
              <c:strCache>
                <c:ptCount val="1"/>
                <c:pt idx="0">
                  <c:v>Columna1</c:v>
                </c:pt>
              </c:strCache>
            </c:strRef>
          </c:tx>
          <c:dLbls>
            <c:dLbl>
              <c:idx val="0"/>
              <c:layout>
                <c:manualLayout>
                  <c:x val="-0.22943861184018671"/>
                  <c:y val="-0.12934508186476726"/>
                </c:manualLayout>
              </c:layout>
              <c:showLegendKey val="0"/>
              <c:showVal val="0"/>
              <c:showCatName val="1"/>
              <c:showSerName val="0"/>
              <c:showPercent val="1"/>
              <c:showBubbleSize val="0"/>
            </c:dLbl>
            <c:dLbl>
              <c:idx val="3"/>
              <c:layout>
                <c:manualLayout>
                  <c:x val="-4.6020850979284871E-2"/>
                  <c:y val="-1.7137126727083646E-2"/>
                </c:manualLayout>
              </c:layout>
              <c:showLegendKey val="0"/>
              <c:showVal val="0"/>
              <c:showCatName val="1"/>
              <c:showSerName val="0"/>
              <c:showPercent val="1"/>
              <c:showBubbleSize val="0"/>
            </c:dLbl>
            <c:dLbl>
              <c:idx val="4"/>
              <c:layout>
                <c:manualLayout>
                  <c:x val="6.3377774989281821E-2"/>
                  <c:y val="3.6195711385133512E-3"/>
                </c:manualLayout>
              </c:layout>
              <c:showLegendKey val="0"/>
              <c:showVal val="0"/>
              <c:showCatName val="1"/>
              <c:showSerName val="0"/>
              <c:showPercent val="1"/>
              <c:showBubbleSize val="0"/>
            </c:dLbl>
            <c:txPr>
              <a:bodyPr/>
              <a:lstStyle/>
              <a:p>
                <a:pPr>
                  <a:defRPr sz="1100" b="1"/>
                </a:pPr>
                <a:endParaRPr lang="es-MX"/>
              </a:p>
            </c:txPr>
            <c:showLegendKey val="0"/>
            <c:showVal val="0"/>
            <c:showCatName val="1"/>
            <c:showSerName val="0"/>
            <c:showPercent val="1"/>
            <c:showBubbleSize val="0"/>
            <c:showLeaderLines val="1"/>
          </c:dLbls>
          <c:cat>
            <c:strRef>
              <c:f>Hoja1!$A$2:$A$7</c:f>
              <c:strCache>
                <c:ptCount val="6"/>
                <c:pt idx="0">
                  <c:v>Crucigramas</c:v>
                </c:pt>
                <c:pt idx="1">
                  <c:v>Sopa de letras</c:v>
                </c:pt>
                <c:pt idx="2">
                  <c:v>Relacionar figuras</c:v>
                </c:pt>
                <c:pt idx="3">
                  <c:v>Adivinanzas</c:v>
                </c:pt>
                <c:pt idx="4">
                  <c:v>Completar</c:v>
                </c:pt>
                <c:pt idx="5">
                  <c:v>Mapas</c:v>
                </c:pt>
              </c:strCache>
            </c:strRef>
          </c:cat>
          <c:val>
            <c:numRef>
              <c:f>Hoja1!$B$2:$B$7</c:f>
              <c:numCache>
                <c:formatCode>General</c:formatCode>
                <c:ptCount val="6"/>
                <c:pt idx="0">
                  <c:v>56</c:v>
                </c:pt>
                <c:pt idx="1">
                  <c:v>10</c:v>
                </c:pt>
                <c:pt idx="2">
                  <c:v>18</c:v>
                </c:pt>
                <c:pt idx="3">
                  <c:v>9</c:v>
                </c:pt>
                <c:pt idx="4">
                  <c:v>7</c:v>
                </c:pt>
                <c:pt idx="5">
                  <c:v>0</c:v>
                </c:pt>
              </c:numCache>
            </c:numRef>
          </c:val>
        </c:ser>
        <c:dLbls>
          <c:showLegendKey val="0"/>
          <c:showVal val="0"/>
          <c:showCatName val="1"/>
          <c:showSerName val="0"/>
          <c:showPercent val="1"/>
          <c:showBubbleSize val="0"/>
          <c:showLeaderLines val="1"/>
        </c:dLbls>
      </c:pie3DChart>
    </c:plotArea>
    <c:plotVisOnly val="1"/>
    <c:dispBlanksAs val="zero"/>
    <c:showDLblsOverMax val="0"/>
  </c:chart>
  <c:spPr>
    <a:ln>
      <a:noFill/>
    </a:ln>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2364</Words>
  <Characters>13003</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15337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fco san</dc:creator>
  <cp:lastModifiedBy>Gustavo Toledo Andrade</cp:lastModifiedBy>
  <cp:revision>2</cp:revision>
  <cp:lastPrinted>2014-06-21T18:51:00Z</cp:lastPrinted>
  <dcterms:created xsi:type="dcterms:W3CDTF">2016-08-15T19:50:00Z</dcterms:created>
  <dcterms:modified xsi:type="dcterms:W3CDTF">2016-08-15T19:50:00Z</dcterms:modified>
</cp:coreProperties>
</file>