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49" w:rsidRPr="001474AC" w:rsidRDefault="008B0949" w:rsidP="001474AC">
      <w:pPr>
        <w:contextualSpacing/>
        <w:jc w:val="right"/>
        <w:rPr>
          <w:rFonts w:ascii="Calibri" w:eastAsia="Calibri" w:hAnsi="Calibri" w:cstheme="minorHAnsi"/>
          <w:bCs/>
          <w:color w:val="7030A0"/>
          <w:sz w:val="36"/>
          <w:szCs w:val="24"/>
        </w:rPr>
      </w:pPr>
      <w:r w:rsidRPr="001474AC">
        <w:rPr>
          <w:rFonts w:ascii="Calibri" w:eastAsia="Calibri" w:hAnsi="Calibri" w:cstheme="minorHAnsi"/>
          <w:bCs/>
          <w:color w:val="7030A0"/>
          <w:sz w:val="36"/>
          <w:szCs w:val="24"/>
        </w:rPr>
        <w:t>Aprendizaje basado en juegos. Una alternativa viable para la enseñanza significativa de la sustentabilidad</w:t>
      </w:r>
    </w:p>
    <w:p w:rsidR="008B0949" w:rsidRPr="001474AC" w:rsidRDefault="008B0949" w:rsidP="001474AC">
      <w:pPr>
        <w:contextualSpacing/>
        <w:jc w:val="right"/>
        <w:rPr>
          <w:rFonts w:ascii="Calibri" w:eastAsia="Calibri" w:hAnsi="Calibri" w:cstheme="minorHAnsi"/>
          <w:bCs/>
          <w:color w:val="7030A0"/>
          <w:sz w:val="36"/>
          <w:szCs w:val="24"/>
        </w:rPr>
      </w:pPr>
    </w:p>
    <w:p w:rsidR="008B0949" w:rsidRPr="001474AC" w:rsidRDefault="008B0949" w:rsidP="001474AC">
      <w:pPr>
        <w:contextualSpacing/>
        <w:jc w:val="right"/>
        <w:rPr>
          <w:rFonts w:ascii="Times New Roman" w:hAnsi="Times New Roman" w:cs="Times New Roman"/>
          <w:b/>
          <w:i/>
          <w:sz w:val="24"/>
          <w:szCs w:val="24"/>
          <w:lang w:val="en-GB"/>
        </w:rPr>
      </w:pPr>
      <w:r w:rsidRPr="001474AC">
        <w:rPr>
          <w:rFonts w:ascii="Calibri" w:eastAsia="Calibri" w:hAnsi="Calibri" w:cstheme="minorHAnsi"/>
          <w:bCs/>
          <w:i/>
          <w:color w:val="7030A0"/>
          <w:sz w:val="28"/>
          <w:szCs w:val="24"/>
        </w:rPr>
        <w:t>Game based learning. A viable alternative for meaningful learning of sustainability</w:t>
      </w:r>
    </w:p>
    <w:p w:rsidR="00F80EA1" w:rsidRPr="00966F5D" w:rsidRDefault="00F80EA1" w:rsidP="00966F5D">
      <w:pPr>
        <w:spacing w:line="360" w:lineRule="auto"/>
        <w:contextualSpacing/>
        <w:jc w:val="center"/>
        <w:rPr>
          <w:rFonts w:ascii="Times New Roman" w:hAnsi="Times New Roman" w:cs="Times New Roman"/>
          <w:b/>
          <w:sz w:val="24"/>
          <w:szCs w:val="24"/>
          <w:lang w:val="es-ES"/>
        </w:rPr>
      </w:pPr>
    </w:p>
    <w:p w:rsidR="00902984" w:rsidRPr="001474AC" w:rsidRDefault="001474AC" w:rsidP="001474AC">
      <w:pPr>
        <w:contextualSpacing/>
        <w:jc w:val="right"/>
        <w:rPr>
          <w:rFonts w:ascii="Calibri" w:eastAsia="Calibri" w:hAnsi="Calibri" w:cstheme="minorHAnsi"/>
          <w:color w:val="FF0000"/>
          <w:sz w:val="24"/>
          <w:szCs w:val="24"/>
          <w:shd w:val="clear" w:color="auto" w:fill="FFFFFF"/>
        </w:rPr>
      </w:pPr>
      <w:r w:rsidRPr="001474AC">
        <w:rPr>
          <w:rFonts w:ascii="Calibri" w:eastAsia="Calibri" w:hAnsi="Calibri" w:cstheme="minorHAnsi"/>
          <w:b/>
          <w:color w:val="000000"/>
          <w:sz w:val="24"/>
          <w:szCs w:val="24"/>
          <w:shd w:val="clear" w:color="auto" w:fill="FFFFFF"/>
        </w:rPr>
        <w:t>Ricardo Victoria Uribe</w:t>
      </w:r>
      <w:r>
        <w:rPr>
          <w:rFonts w:ascii="Times New Roman" w:hAnsi="Times New Roman" w:cs="Times New Roman"/>
          <w:sz w:val="24"/>
          <w:szCs w:val="24"/>
        </w:rPr>
        <w:br/>
      </w:r>
      <w:r w:rsidR="00902984" w:rsidRPr="001474AC">
        <w:rPr>
          <w:rFonts w:ascii="Calibri" w:eastAsia="Calibri" w:hAnsi="Calibri" w:cstheme="minorHAnsi"/>
          <w:color w:val="000000"/>
          <w:sz w:val="24"/>
          <w:szCs w:val="24"/>
        </w:rPr>
        <w:t>Facultad de Arquitectura y Diseño, Universidad Autónoma del Estado de México</w:t>
      </w:r>
      <w:r>
        <w:rPr>
          <w:rFonts w:ascii="Times New Roman" w:hAnsi="Times New Roman" w:cs="Times New Roman"/>
          <w:sz w:val="24"/>
          <w:szCs w:val="24"/>
        </w:rPr>
        <w:br/>
      </w:r>
      <w:hyperlink r:id="rId8" w:history="1">
        <w:r w:rsidR="00F80EA1" w:rsidRPr="001474AC">
          <w:rPr>
            <w:rFonts w:ascii="Calibri" w:eastAsia="Calibri" w:hAnsi="Calibri" w:cstheme="minorHAnsi"/>
            <w:color w:val="FF0000"/>
            <w:sz w:val="24"/>
            <w:szCs w:val="24"/>
            <w:shd w:val="clear" w:color="auto" w:fill="FFFFFF"/>
          </w:rPr>
          <w:t>sustentabledi@gmail.com</w:t>
        </w:r>
      </w:hyperlink>
    </w:p>
    <w:p w:rsidR="00F80EA1" w:rsidRPr="00966F5D" w:rsidRDefault="00F80EA1" w:rsidP="001474AC">
      <w:pPr>
        <w:contextualSpacing/>
        <w:jc w:val="right"/>
        <w:rPr>
          <w:rFonts w:ascii="Times New Roman" w:hAnsi="Times New Roman" w:cs="Times New Roman"/>
          <w:sz w:val="24"/>
          <w:szCs w:val="24"/>
        </w:rPr>
      </w:pPr>
    </w:p>
    <w:p w:rsidR="00902984" w:rsidRPr="001474AC" w:rsidRDefault="001474AC" w:rsidP="001474AC">
      <w:pPr>
        <w:contextualSpacing/>
        <w:jc w:val="right"/>
        <w:rPr>
          <w:rFonts w:ascii="Calibri" w:eastAsia="Calibri" w:hAnsi="Calibri" w:cstheme="minorHAnsi"/>
          <w:color w:val="FF0000"/>
          <w:sz w:val="24"/>
          <w:szCs w:val="24"/>
          <w:shd w:val="clear" w:color="auto" w:fill="FFFFFF"/>
        </w:rPr>
      </w:pPr>
      <w:r w:rsidRPr="001474AC">
        <w:rPr>
          <w:rFonts w:ascii="Calibri" w:eastAsia="Calibri" w:hAnsi="Calibri" w:cstheme="minorHAnsi"/>
          <w:b/>
          <w:color w:val="000000"/>
          <w:sz w:val="24"/>
          <w:szCs w:val="24"/>
          <w:shd w:val="clear" w:color="auto" w:fill="FFFFFF"/>
        </w:rPr>
        <w:t xml:space="preserve">Sandra Alicia </w:t>
      </w:r>
      <w:proofErr w:type="spellStart"/>
      <w:r w:rsidRPr="001474AC">
        <w:rPr>
          <w:rFonts w:ascii="Calibri" w:eastAsia="Calibri" w:hAnsi="Calibri" w:cstheme="minorHAnsi"/>
          <w:b/>
          <w:color w:val="000000"/>
          <w:sz w:val="24"/>
          <w:szCs w:val="24"/>
          <w:shd w:val="clear" w:color="auto" w:fill="FFFFFF"/>
        </w:rPr>
        <w:t>Utrilla</w:t>
      </w:r>
      <w:proofErr w:type="spellEnd"/>
      <w:r w:rsidRPr="001474AC">
        <w:rPr>
          <w:rFonts w:ascii="Calibri" w:eastAsia="Calibri" w:hAnsi="Calibri" w:cstheme="minorHAnsi"/>
          <w:b/>
          <w:color w:val="000000"/>
          <w:sz w:val="24"/>
          <w:szCs w:val="24"/>
          <w:shd w:val="clear" w:color="auto" w:fill="FFFFFF"/>
        </w:rPr>
        <w:t xml:space="preserve"> Cobos</w:t>
      </w:r>
      <w:r>
        <w:rPr>
          <w:rFonts w:ascii="Times New Roman" w:hAnsi="Times New Roman" w:cs="Times New Roman"/>
          <w:sz w:val="24"/>
          <w:szCs w:val="24"/>
        </w:rPr>
        <w:br/>
      </w:r>
      <w:r w:rsidR="00902984" w:rsidRPr="001474AC">
        <w:rPr>
          <w:rFonts w:ascii="Calibri" w:eastAsia="Calibri" w:hAnsi="Calibri" w:cstheme="minorHAnsi"/>
          <w:color w:val="000000"/>
          <w:sz w:val="24"/>
          <w:szCs w:val="24"/>
        </w:rPr>
        <w:t>Facultad de Arquitectura y Diseño, Universida</w:t>
      </w:r>
      <w:r w:rsidRPr="001474AC">
        <w:rPr>
          <w:rFonts w:ascii="Calibri" w:eastAsia="Calibri" w:hAnsi="Calibri" w:cstheme="minorHAnsi"/>
          <w:color w:val="000000"/>
          <w:sz w:val="24"/>
          <w:szCs w:val="24"/>
        </w:rPr>
        <w:t>d Autónoma del Estado de México</w:t>
      </w:r>
      <w:r>
        <w:rPr>
          <w:rFonts w:ascii="Times New Roman" w:hAnsi="Times New Roman" w:cs="Times New Roman"/>
          <w:color w:val="000000" w:themeColor="text1"/>
          <w:sz w:val="24"/>
          <w:szCs w:val="24"/>
        </w:rPr>
        <w:br/>
      </w:r>
      <w:hyperlink r:id="rId9" w:history="1">
        <w:r w:rsidR="00902984" w:rsidRPr="001474AC">
          <w:rPr>
            <w:rFonts w:ascii="Calibri" w:eastAsia="Calibri" w:hAnsi="Calibri" w:cstheme="minorHAnsi"/>
            <w:color w:val="FF0000"/>
            <w:sz w:val="24"/>
            <w:szCs w:val="24"/>
            <w:shd w:val="clear" w:color="auto" w:fill="FFFFFF"/>
          </w:rPr>
          <w:t>sautrillac@uaemex.com</w:t>
        </w:r>
      </w:hyperlink>
    </w:p>
    <w:p w:rsidR="00F80EA1" w:rsidRPr="00966F5D" w:rsidRDefault="00F80EA1" w:rsidP="001474AC">
      <w:pPr>
        <w:contextualSpacing/>
        <w:jc w:val="right"/>
        <w:rPr>
          <w:rFonts w:ascii="Times New Roman" w:hAnsi="Times New Roman" w:cs="Times New Roman"/>
          <w:color w:val="000000" w:themeColor="text1"/>
          <w:sz w:val="24"/>
          <w:szCs w:val="24"/>
        </w:rPr>
      </w:pPr>
    </w:p>
    <w:p w:rsidR="00902984" w:rsidRPr="001474AC" w:rsidRDefault="001474AC" w:rsidP="001474AC">
      <w:pPr>
        <w:contextualSpacing/>
        <w:jc w:val="right"/>
        <w:rPr>
          <w:rFonts w:ascii="Calibri" w:eastAsia="Calibri" w:hAnsi="Calibri" w:cstheme="minorHAnsi"/>
          <w:color w:val="FF0000"/>
          <w:sz w:val="24"/>
          <w:szCs w:val="24"/>
          <w:shd w:val="clear" w:color="auto" w:fill="FFFFFF"/>
        </w:rPr>
      </w:pPr>
      <w:r w:rsidRPr="001474AC">
        <w:rPr>
          <w:rFonts w:ascii="Calibri" w:eastAsia="Calibri" w:hAnsi="Calibri" w:cstheme="minorHAnsi"/>
          <w:b/>
          <w:color w:val="000000"/>
          <w:sz w:val="24"/>
          <w:szCs w:val="24"/>
          <w:shd w:val="clear" w:color="auto" w:fill="FFFFFF"/>
        </w:rPr>
        <w:t>Arturo Santamaría Ortega</w:t>
      </w:r>
      <w:r>
        <w:rPr>
          <w:rFonts w:ascii="Times New Roman" w:hAnsi="Times New Roman" w:cs="Times New Roman"/>
          <w:sz w:val="24"/>
          <w:szCs w:val="24"/>
        </w:rPr>
        <w:br/>
      </w:r>
      <w:r w:rsidR="00902984" w:rsidRPr="001474AC">
        <w:rPr>
          <w:rFonts w:ascii="Calibri" w:eastAsia="Calibri" w:hAnsi="Calibri" w:cstheme="minorHAnsi"/>
          <w:color w:val="000000"/>
          <w:sz w:val="24"/>
          <w:szCs w:val="24"/>
        </w:rPr>
        <w:t>Facultad de Arquitectura y Diseño, Universidad Autónoma del Estado de M</w:t>
      </w:r>
      <w:r w:rsidRPr="001474AC">
        <w:rPr>
          <w:rFonts w:ascii="Calibri" w:eastAsia="Calibri" w:hAnsi="Calibri" w:cstheme="minorHAnsi"/>
          <w:color w:val="000000"/>
          <w:sz w:val="24"/>
          <w:szCs w:val="24"/>
        </w:rPr>
        <w:t>éxico</w:t>
      </w:r>
      <w:r>
        <w:rPr>
          <w:rFonts w:ascii="Times New Roman" w:hAnsi="Times New Roman" w:cs="Times New Roman"/>
          <w:color w:val="000000" w:themeColor="text1"/>
          <w:sz w:val="24"/>
          <w:szCs w:val="24"/>
        </w:rPr>
        <w:br/>
      </w:r>
      <w:hyperlink r:id="rId10" w:history="1">
        <w:r w:rsidR="008B0949" w:rsidRPr="001474AC">
          <w:rPr>
            <w:rFonts w:ascii="Calibri" w:eastAsia="Calibri" w:hAnsi="Calibri" w:cstheme="minorHAnsi"/>
            <w:color w:val="FF0000"/>
            <w:shd w:val="clear" w:color="auto" w:fill="FFFFFF"/>
          </w:rPr>
          <w:t>Arturo_santamaria@hotmail.com</w:t>
        </w:r>
      </w:hyperlink>
    </w:p>
    <w:p w:rsidR="008B0949" w:rsidRDefault="008B0949" w:rsidP="008B0949">
      <w:pPr>
        <w:spacing w:line="360" w:lineRule="auto"/>
        <w:contextualSpacing/>
        <w:jc w:val="center"/>
        <w:rPr>
          <w:rFonts w:ascii="Times New Roman" w:hAnsi="Times New Roman" w:cs="Times New Roman"/>
          <w:color w:val="000000" w:themeColor="text1"/>
          <w:sz w:val="24"/>
          <w:szCs w:val="24"/>
        </w:rPr>
      </w:pPr>
    </w:p>
    <w:p w:rsidR="008B0949" w:rsidRPr="008B0949" w:rsidRDefault="008B0949" w:rsidP="008B0949">
      <w:pPr>
        <w:spacing w:line="360" w:lineRule="auto"/>
        <w:contextualSpacing/>
        <w:jc w:val="center"/>
        <w:rPr>
          <w:rStyle w:val="Hipervnculo"/>
          <w:rFonts w:ascii="Times New Roman" w:hAnsi="Times New Roman" w:cs="Times New Roman"/>
          <w:color w:val="000000" w:themeColor="text1"/>
          <w:sz w:val="24"/>
          <w:szCs w:val="24"/>
          <w:u w:val="none"/>
        </w:rPr>
      </w:pPr>
    </w:p>
    <w:p w:rsidR="00902984" w:rsidRPr="00966F5D" w:rsidRDefault="00902984" w:rsidP="00966F5D">
      <w:pPr>
        <w:spacing w:line="360" w:lineRule="auto"/>
        <w:contextualSpacing/>
        <w:jc w:val="center"/>
        <w:rPr>
          <w:rFonts w:ascii="Times New Roman" w:hAnsi="Times New Roman" w:cs="Times New Roman"/>
          <w:color w:val="000000" w:themeColor="text1"/>
          <w:sz w:val="24"/>
          <w:szCs w:val="24"/>
        </w:rPr>
      </w:pPr>
    </w:p>
    <w:p w:rsidR="00F46D07" w:rsidRPr="00966F5D" w:rsidRDefault="002C55FE" w:rsidP="00966F5D">
      <w:pPr>
        <w:spacing w:line="360" w:lineRule="auto"/>
        <w:contextualSpacing/>
        <w:jc w:val="both"/>
        <w:rPr>
          <w:rFonts w:ascii="Times New Roman" w:hAnsi="Times New Roman" w:cs="Times New Roman"/>
          <w:sz w:val="24"/>
          <w:szCs w:val="24"/>
        </w:rPr>
      </w:pPr>
      <w:r w:rsidRPr="001474AC">
        <w:rPr>
          <w:rFonts w:ascii="Calibri" w:eastAsia="Calibri" w:hAnsi="Calibri" w:cstheme="minorHAnsi"/>
          <w:color w:val="7030A0"/>
          <w:sz w:val="28"/>
          <w:szCs w:val="24"/>
        </w:rPr>
        <w:t xml:space="preserve">Resumen </w:t>
      </w:r>
      <w:r w:rsidRPr="001474AC">
        <w:rPr>
          <w:rFonts w:ascii="Calibri" w:eastAsia="Calibri" w:hAnsi="Calibri" w:cstheme="minorHAnsi"/>
          <w:color w:val="7030A0"/>
          <w:sz w:val="28"/>
          <w:szCs w:val="24"/>
        </w:rPr>
        <w:br/>
      </w:r>
      <w:r w:rsidR="00E276EF" w:rsidRPr="00966F5D">
        <w:rPr>
          <w:rFonts w:ascii="Times New Roman" w:hAnsi="Times New Roman" w:cs="Times New Roman"/>
          <w:sz w:val="24"/>
          <w:szCs w:val="24"/>
        </w:rPr>
        <w:t xml:space="preserve">La enseñanza de la sustentabilidad </w:t>
      </w:r>
      <w:r w:rsidR="00FE3F00" w:rsidRPr="00966F5D">
        <w:rPr>
          <w:rFonts w:ascii="Times New Roman" w:hAnsi="Times New Roman" w:cs="Times New Roman"/>
          <w:sz w:val="24"/>
          <w:szCs w:val="24"/>
        </w:rPr>
        <w:t xml:space="preserve">es </w:t>
      </w:r>
      <w:r w:rsidR="00E276EF" w:rsidRPr="00966F5D">
        <w:rPr>
          <w:rFonts w:ascii="Times New Roman" w:hAnsi="Times New Roman" w:cs="Times New Roman"/>
          <w:sz w:val="24"/>
          <w:szCs w:val="24"/>
        </w:rPr>
        <w:t xml:space="preserve">una necesidad imperante hoy en día, presenta retos al aprendizaje significativo por parte de los alumnos. Esto debido a la complejidad de </w:t>
      </w:r>
      <w:r w:rsidR="00DC4B3C" w:rsidRPr="00966F5D">
        <w:rPr>
          <w:rFonts w:ascii="Times New Roman" w:hAnsi="Times New Roman" w:cs="Times New Roman"/>
          <w:sz w:val="24"/>
          <w:szCs w:val="24"/>
        </w:rPr>
        <w:t xml:space="preserve">los temas en términos </w:t>
      </w:r>
      <w:r w:rsidR="00D1689F" w:rsidRPr="00966F5D">
        <w:rPr>
          <w:rFonts w:ascii="Times New Roman" w:hAnsi="Times New Roman" w:cs="Times New Roman"/>
          <w:sz w:val="24"/>
          <w:szCs w:val="24"/>
        </w:rPr>
        <w:t xml:space="preserve">de aplicación en la vida diaria, lo cual </w:t>
      </w:r>
      <w:r w:rsidRPr="00966F5D">
        <w:rPr>
          <w:rFonts w:ascii="Times New Roman" w:hAnsi="Times New Roman" w:cs="Times New Roman"/>
          <w:sz w:val="24"/>
          <w:szCs w:val="24"/>
        </w:rPr>
        <w:t xml:space="preserve">resulta en una falta de entendimiento. </w:t>
      </w:r>
      <w:r w:rsidR="00F80EA1" w:rsidRPr="00966F5D">
        <w:rPr>
          <w:rFonts w:ascii="Times New Roman" w:hAnsi="Times New Roman" w:cs="Times New Roman"/>
          <w:sz w:val="24"/>
          <w:szCs w:val="24"/>
        </w:rPr>
        <w:t xml:space="preserve"> </w:t>
      </w:r>
      <w:r w:rsidRPr="00966F5D">
        <w:rPr>
          <w:rFonts w:ascii="Times New Roman" w:hAnsi="Times New Roman" w:cs="Times New Roman"/>
          <w:sz w:val="24"/>
          <w:szCs w:val="24"/>
        </w:rPr>
        <w:t>Una propuesta para</w:t>
      </w:r>
      <w:r w:rsidR="00DC4B3C" w:rsidRPr="00966F5D">
        <w:rPr>
          <w:rFonts w:ascii="Times New Roman" w:hAnsi="Times New Roman" w:cs="Times New Roman"/>
          <w:sz w:val="24"/>
          <w:szCs w:val="24"/>
        </w:rPr>
        <w:t xml:space="preserve"> solventar esta</w:t>
      </w:r>
      <w:r w:rsidR="00F46D07" w:rsidRPr="00966F5D">
        <w:rPr>
          <w:rFonts w:ascii="Times New Roman" w:hAnsi="Times New Roman" w:cs="Times New Roman"/>
          <w:sz w:val="24"/>
          <w:szCs w:val="24"/>
        </w:rPr>
        <w:t>s dificultades se encuentra en el aprendizaje basado en juegos, como</w:t>
      </w:r>
      <w:r w:rsidRPr="00966F5D">
        <w:rPr>
          <w:rFonts w:ascii="Times New Roman" w:hAnsi="Times New Roman" w:cs="Times New Roman"/>
          <w:sz w:val="24"/>
          <w:szCs w:val="24"/>
        </w:rPr>
        <w:t xml:space="preserve"> como herramienta de enseñanza. Los juegos</w:t>
      </w:r>
      <w:r w:rsidR="00F46D07" w:rsidRPr="00966F5D">
        <w:rPr>
          <w:rFonts w:ascii="Times New Roman" w:hAnsi="Times New Roman" w:cs="Times New Roman"/>
          <w:sz w:val="24"/>
          <w:szCs w:val="24"/>
        </w:rPr>
        <w:t xml:space="preserve"> han formado parte esencial de desarrollo cognitivo de la personas desde temprana edad, así como siguen siendo base para interacciones sociales</w:t>
      </w:r>
      <w:r w:rsidR="00D1689F" w:rsidRPr="00966F5D">
        <w:rPr>
          <w:rFonts w:ascii="Times New Roman" w:hAnsi="Times New Roman" w:cs="Times New Roman"/>
          <w:sz w:val="24"/>
          <w:szCs w:val="24"/>
        </w:rPr>
        <w:t xml:space="preserve"> y familiares en la edad adulta</w:t>
      </w:r>
      <w:r w:rsidR="00F46D07" w:rsidRPr="00966F5D">
        <w:rPr>
          <w:rFonts w:ascii="Times New Roman" w:hAnsi="Times New Roman" w:cs="Times New Roman"/>
          <w:sz w:val="24"/>
          <w:szCs w:val="24"/>
        </w:rPr>
        <w:t xml:space="preserve">. Es por ello que se ha buscado usar al juego como elemento para fomentar aprendizaje significativo, sobre todo en temas que presentan obstáculos en su integración al conocimiento el estudiante. </w:t>
      </w:r>
    </w:p>
    <w:p w:rsidR="00F80EA1" w:rsidRPr="00966F5D" w:rsidRDefault="00F80EA1" w:rsidP="00966F5D">
      <w:pPr>
        <w:spacing w:line="360" w:lineRule="auto"/>
        <w:contextualSpacing/>
        <w:jc w:val="both"/>
        <w:rPr>
          <w:rFonts w:ascii="Times New Roman" w:hAnsi="Times New Roman" w:cs="Times New Roman"/>
          <w:sz w:val="24"/>
          <w:szCs w:val="24"/>
        </w:rPr>
      </w:pPr>
    </w:p>
    <w:p w:rsidR="00F46D07" w:rsidRPr="00966F5D" w:rsidRDefault="00F46D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El objetivo de este documento es explicar cómo el juego, en particular los juegos de mesa</w:t>
      </w:r>
      <w:r w:rsidR="002C55FE" w:rsidRPr="00966F5D">
        <w:rPr>
          <w:rFonts w:ascii="Times New Roman" w:hAnsi="Times New Roman" w:cs="Times New Roman"/>
          <w:sz w:val="24"/>
          <w:szCs w:val="24"/>
        </w:rPr>
        <w:t xml:space="preserve"> </w:t>
      </w:r>
      <w:r w:rsidRPr="00966F5D">
        <w:rPr>
          <w:rFonts w:ascii="Times New Roman" w:hAnsi="Times New Roman" w:cs="Times New Roman"/>
          <w:sz w:val="24"/>
          <w:szCs w:val="24"/>
        </w:rPr>
        <w:t>pueden ser herramientas útiles para la enseñanza de la sustentabili</w:t>
      </w:r>
      <w:r w:rsidR="00FE3F00" w:rsidRPr="00966F5D">
        <w:rPr>
          <w:rFonts w:ascii="Times New Roman" w:hAnsi="Times New Roman" w:cs="Times New Roman"/>
          <w:sz w:val="24"/>
          <w:szCs w:val="24"/>
        </w:rPr>
        <w:t xml:space="preserve">dad. </w:t>
      </w:r>
    </w:p>
    <w:p w:rsidR="002C55FE" w:rsidRPr="00966F5D" w:rsidRDefault="002C55FE" w:rsidP="00966F5D">
      <w:pPr>
        <w:spacing w:line="360" w:lineRule="auto"/>
        <w:contextualSpacing/>
        <w:jc w:val="both"/>
        <w:rPr>
          <w:rFonts w:ascii="Times New Roman" w:hAnsi="Times New Roman" w:cs="Times New Roman"/>
          <w:b/>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1474AC">
        <w:rPr>
          <w:rFonts w:ascii="Calibri" w:eastAsia="Calibri" w:hAnsi="Calibri" w:cstheme="minorHAnsi"/>
          <w:color w:val="7030A0"/>
          <w:sz w:val="28"/>
          <w:szCs w:val="24"/>
        </w:rPr>
        <w:lastRenderedPageBreak/>
        <w:t>Palabras clave:</w:t>
      </w:r>
      <w:r w:rsidRPr="00966F5D">
        <w:rPr>
          <w:rFonts w:ascii="Times New Roman" w:hAnsi="Times New Roman" w:cs="Times New Roman"/>
          <w:b/>
          <w:sz w:val="24"/>
          <w:szCs w:val="24"/>
        </w:rPr>
        <w:t xml:space="preserve"> </w:t>
      </w:r>
      <w:r w:rsidRPr="00966F5D">
        <w:rPr>
          <w:rFonts w:ascii="Times New Roman" w:hAnsi="Times New Roman" w:cs="Times New Roman"/>
          <w:sz w:val="24"/>
          <w:szCs w:val="24"/>
        </w:rPr>
        <w:t xml:space="preserve">sustentabilidad, diseño, juegos de mesa, </w:t>
      </w:r>
      <w:r w:rsidR="00F46D07" w:rsidRPr="00966F5D">
        <w:rPr>
          <w:rFonts w:ascii="Times New Roman" w:hAnsi="Times New Roman" w:cs="Times New Roman"/>
          <w:sz w:val="24"/>
          <w:szCs w:val="24"/>
        </w:rPr>
        <w:t>aprendizaje basado en juegos, aprendizaje significativo</w:t>
      </w:r>
    </w:p>
    <w:p w:rsidR="00FE3F00" w:rsidRDefault="00FE3F00" w:rsidP="00966F5D">
      <w:pPr>
        <w:spacing w:line="360" w:lineRule="auto"/>
        <w:contextualSpacing/>
        <w:jc w:val="both"/>
        <w:rPr>
          <w:rFonts w:ascii="Times New Roman" w:hAnsi="Times New Roman" w:cs="Times New Roman"/>
          <w:sz w:val="24"/>
          <w:szCs w:val="24"/>
        </w:rPr>
      </w:pPr>
    </w:p>
    <w:p w:rsidR="00FE3F00" w:rsidRPr="001474AC" w:rsidRDefault="00FE3F00" w:rsidP="00966F5D">
      <w:pPr>
        <w:spacing w:line="360" w:lineRule="auto"/>
        <w:contextualSpacing/>
        <w:jc w:val="both"/>
        <w:rPr>
          <w:rFonts w:ascii="Calibri" w:eastAsia="Calibri" w:hAnsi="Calibri" w:cstheme="minorHAnsi"/>
          <w:color w:val="7030A0"/>
          <w:sz w:val="28"/>
          <w:szCs w:val="24"/>
        </w:rPr>
      </w:pPr>
      <w:proofErr w:type="spellStart"/>
      <w:r w:rsidRPr="001474AC">
        <w:rPr>
          <w:rFonts w:ascii="Calibri" w:eastAsia="Calibri" w:hAnsi="Calibri" w:cstheme="minorHAnsi"/>
          <w:color w:val="7030A0"/>
          <w:sz w:val="28"/>
          <w:szCs w:val="24"/>
        </w:rPr>
        <w:t>Abstract</w:t>
      </w:r>
      <w:proofErr w:type="spellEnd"/>
    </w:p>
    <w:p w:rsidR="00FE3F00" w:rsidRPr="00966F5D" w:rsidRDefault="00FE3F00" w:rsidP="00966F5D">
      <w:pPr>
        <w:spacing w:line="360" w:lineRule="auto"/>
        <w:contextualSpacing/>
        <w:jc w:val="both"/>
        <w:rPr>
          <w:rFonts w:ascii="Times New Roman" w:hAnsi="Times New Roman" w:cs="Times New Roman"/>
          <w:sz w:val="24"/>
          <w:szCs w:val="24"/>
          <w:lang w:val="en-GB"/>
        </w:rPr>
      </w:pPr>
      <w:r w:rsidRPr="00966F5D">
        <w:rPr>
          <w:rFonts w:ascii="Times New Roman" w:hAnsi="Times New Roman" w:cs="Times New Roman"/>
          <w:sz w:val="24"/>
          <w:szCs w:val="24"/>
          <w:lang w:val="en-GB"/>
        </w:rPr>
        <w:t>Teaching sustainability is a necessity of importance</w:t>
      </w:r>
      <w:r w:rsidR="00A26F11" w:rsidRPr="00966F5D">
        <w:rPr>
          <w:rFonts w:ascii="Times New Roman" w:hAnsi="Times New Roman" w:cs="Times New Roman"/>
          <w:sz w:val="24"/>
          <w:szCs w:val="24"/>
          <w:lang w:val="en-GB"/>
        </w:rPr>
        <w:t xml:space="preserve"> nowadays</w:t>
      </w:r>
      <w:r w:rsidR="004D52C5" w:rsidRPr="00966F5D">
        <w:rPr>
          <w:rFonts w:ascii="Times New Roman" w:hAnsi="Times New Roman" w:cs="Times New Roman"/>
          <w:sz w:val="24"/>
          <w:szCs w:val="24"/>
          <w:lang w:val="en-GB"/>
        </w:rPr>
        <w:t>, it presents challenges for the students’ meaningful learning. This is due the complexity of the topics and how they relate to daily life. A proposal to solve this gap is to use game based learning as teaching tool. Games have been an essential part of the cognitive development of people since early childhood, as well as being part of social and family interactions. It’s because of this that it has been studied the use of games as tool for meaningful learning, especially in topics where the knowledge transfer is hindered. The aim of this paper is to explain how the games, particularly board games can be used as tools for teaching sustainability.</w:t>
      </w:r>
    </w:p>
    <w:p w:rsidR="002C55FE" w:rsidRPr="00966F5D" w:rsidRDefault="002C55FE" w:rsidP="00966F5D">
      <w:pPr>
        <w:spacing w:line="360" w:lineRule="auto"/>
        <w:contextualSpacing/>
        <w:jc w:val="both"/>
        <w:rPr>
          <w:rFonts w:ascii="Times New Roman" w:hAnsi="Times New Roman" w:cs="Times New Roman"/>
          <w:b/>
          <w:sz w:val="24"/>
          <w:szCs w:val="24"/>
          <w:lang w:val="en-US"/>
        </w:rPr>
      </w:pPr>
      <w:r w:rsidRPr="001474AC">
        <w:rPr>
          <w:rFonts w:ascii="Calibri" w:eastAsia="Calibri" w:hAnsi="Calibri" w:cstheme="minorHAnsi"/>
          <w:color w:val="7030A0"/>
          <w:sz w:val="28"/>
          <w:szCs w:val="24"/>
        </w:rPr>
        <w:t xml:space="preserve">Key </w:t>
      </w:r>
      <w:proofErr w:type="spellStart"/>
      <w:r w:rsidRPr="001474AC">
        <w:rPr>
          <w:rFonts w:ascii="Calibri" w:eastAsia="Calibri" w:hAnsi="Calibri" w:cstheme="minorHAnsi"/>
          <w:color w:val="7030A0"/>
          <w:sz w:val="28"/>
          <w:szCs w:val="24"/>
        </w:rPr>
        <w:t>words</w:t>
      </w:r>
      <w:proofErr w:type="spellEnd"/>
      <w:proofErr w:type="gramStart"/>
      <w:r w:rsidRPr="001474AC">
        <w:rPr>
          <w:rFonts w:ascii="Calibri" w:eastAsia="Calibri" w:hAnsi="Calibri" w:cstheme="minorHAnsi"/>
          <w:color w:val="7030A0"/>
          <w:sz w:val="28"/>
          <w:szCs w:val="24"/>
        </w:rPr>
        <w:t>:</w:t>
      </w:r>
      <w:r w:rsidRPr="00966F5D">
        <w:rPr>
          <w:rFonts w:ascii="Times New Roman" w:hAnsi="Times New Roman" w:cs="Times New Roman"/>
          <w:b/>
          <w:sz w:val="24"/>
          <w:szCs w:val="24"/>
          <w:lang w:val="en-US"/>
        </w:rPr>
        <w:t xml:space="preserve">  </w:t>
      </w:r>
      <w:r w:rsidRPr="00966F5D">
        <w:rPr>
          <w:rFonts w:ascii="Times New Roman" w:hAnsi="Times New Roman" w:cs="Times New Roman"/>
          <w:sz w:val="24"/>
          <w:szCs w:val="24"/>
          <w:lang w:val="en-US"/>
        </w:rPr>
        <w:t>sustainability</w:t>
      </w:r>
      <w:proofErr w:type="gramEnd"/>
      <w:r w:rsidRPr="00966F5D">
        <w:rPr>
          <w:rFonts w:ascii="Times New Roman" w:hAnsi="Times New Roman" w:cs="Times New Roman"/>
          <w:sz w:val="24"/>
          <w:szCs w:val="24"/>
          <w:lang w:val="en-US"/>
        </w:rPr>
        <w:t xml:space="preserve">, design, </w:t>
      </w:r>
      <w:r w:rsidR="004D52C5" w:rsidRPr="00966F5D">
        <w:rPr>
          <w:rFonts w:ascii="Times New Roman" w:hAnsi="Times New Roman" w:cs="Times New Roman"/>
          <w:sz w:val="24"/>
          <w:szCs w:val="24"/>
          <w:lang w:val="en-US"/>
        </w:rPr>
        <w:t>board games</w:t>
      </w:r>
      <w:r w:rsidRPr="00966F5D">
        <w:rPr>
          <w:rFonts w:ascii="Times New Roman" w:hAnsi="Times New Roman" w:cs="Times New Roman"/>
          <w:sz w:val="24"/>
          <w:szCs w:val="24"/>
          <w:lang w:val="en-US"/>
        </w:rPr>
        <w:t xml:space="preserve">, </w:t>
      </w:r>
      <w:r w:rsidR="00F46D07" w:rsidRPr="00966F5D">
        <w:rPr>
          <w:rFonts w:ascii="Times New Roman" w:hAnsi="Times New Roman" w:cs="Times New Roman"/>
          <w:sz w:val="24"/>
          <w:szCs w:val="24"/>
          <w:lang w:val="en-US"/>
        </w:rPr>
        <w:t>game based learning, meaningful learning.</w:t>
      </w:r>
    </w:p>
    <w:p w:rsidR="001474AC" w:rsidRPr="00077FFC" w:rsidRDefault="001474AC" w:rsidP="001474AC">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rsidR="002C55FE" w:rsidRDefault="001474AC" w:rsidP="001474AC">
      <w:pPr>
        <w:spacing w:line="360" w:lineRule="auto"/>
        <w:contextualSpacing/>
        <w:jc w:val="both"/>
        <w:rPr>
          <w:rFonts w:cstheme="minorHAnsi"/>
        </w:rPr>
      </w:pPr>
      <w:r>
        <w:rPr>
          <w:rFonts w:cstheme="minorHAnsi"/>
        </w:rPr>
        <w:pict>
          <v:rect id="_x0000_i1025" style="width:0;height:1.5pt" o:hralign="center" o:hrstd="t" o:hr="t" fillcolor="#a0a0a0" stroked="f"/>
        </w:pict>
      </w:r>
    </w:p>
    <w:p w:rsidR="001474AC" w:rsidRDefault="001474AC" w:rsidP="001474AC">
      <w:pPr>
        <w:spacing w:line="360" w:lineRule="auto"/>
        <w:contextualSpacing/>
        <w:jc w:val="both"/>
        <w:rPr>
          <w:rFonts w:cstheme="minorHAnsi"/>
        </w:rPr>
      </w:pPr>
    </w:p>
    <w:p w:rsidR="001474AC" w:rsidRPr="00966F5D" w:rsidRDefault="001474AC" w:rsidP="001474AC">
      <w:pPr>
        <w:spacing w:line="360" w:lineRule="auto"/>
        <w:contextualSpacing/>
        <w:jc w:val="both"/>
        <w:rPr>
          <w:rFonts w:ascii="Times New Roman" w:hAnsi="Times New Roman" w:cs="Times New Roman"/>
          <w:sz w:val="24"/>
          <w:szCs w:val="24"/>
          <w:lang w:val="en-US"/>
        </w:rPr>
      </w:pPr>
    </w:p>
    <w:p w:rsidR="00F80EA1" w:rsidRPr="00966F5D" w:rsidRDefault="00F80EA1" w:rsidP="00966F5D">
      <w:pPr>
        <w:spacing w:line="360" w:lineRule="auto"/>
        <w:contextualSpacing/>
        <w:jc w:val="both"/>
        <w:rPr>
          <w:rFonts w:ascii="Times New Roman" w:hAnsi="Times New Roman" w:cs="Times New Roman"/>
          <w:b/>
          <w:sz w:val="24"/>
          <w:szCs w:val="24"/>
        </w:rPr>
      </w:pPr>
      <w:r w:rsidRPr="00966F5D">
        <w:rPr>
          <w:rFonts w:ascii="Times New Roman" w:hAnsi="Times New Roman" w:cs="Times New Roman"/>
          <w:b/>
          <w:sz w:val="24"/>
          <w:szCs w:val="24"/>
        </w:rPr>
        <w:t xml:space="preserve">1. </w:t>
      </w:r>
      <w:r w:rsidR="002C55FE" w:rsidRPr="001474AC">
        <w:rPr>
          <w:rFonts w:ascii="Calibri" w:eastAsia="Calibri" w:hAnsi="Calibri" w:cstheme="minorHAnsi"/>
          <w:color w:val="7030A0"/>
          <w:sz w:val="28"/>
          <w:szCs w:val="24"/>
        </w:rPr>
        <w:t xml:space="preserve">Introducción </w:t>
      </w:r>
    </w:p>
    <w:p w:rsidR="00F80EA1" w:rsidRPr="00966F5D" w:rsidRDefault="00F80EA1" w:rsidP="00966F5D">
      <w:pPr>
        <w:spacing w:line="360" w:lineRule="auto"/>
        <w:contextualSpacing/>
        <w:jc w:val="both"/>
        <w:rPr>
          <w:rFonts w:ascii="Times New Roman" w:hAnsi="Times New Roman" w:cs="Times New Roman"/>
          <w:b/>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En la enseñanza de diseño sustentable con un enfoque de responsabilidad social debería hacerse énfasis en que los futuros diseñadores  deben tener una mente inquisitiva que les permita identificar patrones de comportamiento, buscar soluciones y hacer las preguntas necesarias. Esto requiere el desarrollo de habilidades de planeación, estrategia y pensamiento lateral dentro de un marco de entendimiento de conceptos de sustentabilidad. Y esto solo se lograra si concientizamos a los futuros diseñadores de este nuevo papel (que en realidad es el papel original del diseño: ayudar) desde su educación</w:t>
      </w:r>
      <w:r w:rsidR="00F80EA1" w:rsidRPr="00966F5D">
        <w:rPr>
          <w:rFonts w:ascii="Times New Roman" w:hAnsi="Times New Roman" w:cs="Times New Roman"/>
          <w:sz w:val="24"/>
          <w:szCs w:val="24"/>
        </w:rPr>
        <w:t>.</w:t>
      </w:r>
    </w:p>
    <w:p w:rsidR="002C55FE" w:rsidRPr="00966F5D" w:rsidRDefault="002C55FE"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Datos de psicólogos de la educación indican que en general la gente retiene solo el 80% de lo que hacen, mientras que solo retienen del 10 al 20% de lo que leen o escuchan (</w:t>
      </w:r>
      <w:proofErr w:type="spellStart"/>
      <w:r w:rsidRPr="00966F5D">
        <w:rPr>
          <w:rFonts w:ascii="Times New Roman" w:hAnsi="Times New Roman" w:cs="Times New Roman"/>
          <w:sz w:val="24"/>
          <w:szCs w:val="24"/>
        </w:rPr>
        <w:t>Bhamra</w:t>
      </w:r>
      <w:proofErr w:type="spellEnd"/>
      <w:r w:rsidRPr="00966F5D">
        <w:rPr>
          <w:rFonts w:ascii="Times New Roman" w:hAnsi="Times New Roman" w:cs="Times New Roman"/>
          <w:sz w:val="24"/>
          <w:szCs w:val="24"/>
        </w:rPr>
        <w:t xml:space="preserve"> &amp; </w:t>
      </w:r>
      <w:proofErr w:type="spellStart"/>
      <w:r w:rsidRPr="00966F5D">
        <w:rPr>
          <w:rFonts w:ascii="Times New Roman" w:hAnsi="Times New Roman" w:cs="Times New Roman"/>
          <w:sz w:val="24"/>
          <w:szCs w:val="24"/>
        </w:rPr>
        <w:t>Lofthouse</w:t>
      </w:r>
      <w:proofErr w:type="spellEnd"/>
      <w:r w:rsidRPr="00966F5D">
        <w:rPr>
          <w:rFonts w:ascii="Times New Roman" w:hAnsi="Times New Roman" w:cs="Times New Roman"/>
          <w:sz w:val="24"/>
          <w:szCs w:val="24"/>
        </w:rPr>
        <w:t xml:space="preserve">, 2004). Las personas tienden a filtrar la información basada en una serie de factores entre ellos sus </w:t>
      </w:r>
      <w:r w:rsidRPr="00966F5D">
        <w:rPr>
          <w:rFonts w:ascii="Times New Roman" w:hAnsi="Times New Roman" w:cs="Times New Roman"/>
          <w:sz w:val="24"/>
          <w:szCs w:val="24"/>
        </w:rPr>
        <w:lastRenderedPageBreak/>
        <w:t>intereses personales, preconcepciones y claridad de información durante la transferencia de conocimiento (</w:t>
      </w:r>
      <w:proofErr w:type="spellStart"/>
      <w:r w:rsidRPr="00966F5D">
        <w:rPr>
          <w:rFonts w:ascii="Times New Roman" w:hAnsi="Times New Roman" w:cs="Times New Roman"/>
          <w:sz w:val="24"/>
          <w:szCs w:val="24"/>
        </w:rPr>
        <w:t>Treher</w:t>
      </w:r>
      <w:proofErr w:type="spellEnd"/>
      <w:r w:rsidRPr="00966F5D">
        <w:rPr>
          <w:rFonts w:ascii="Times New Roman" w:hAnsi="Times New Roman" w:cs="Times New Roman"/>
          <w:sz w:val="24"/>
          <w:szCs w:val="24"/>
        </w:rPr>
        <w:t>, 2011). De igual manera, la experiencia difícilmente crece en aprendizaje significativo a menos que los eventos de dicha experiencia les permita dar significado y relevancia (</w:t>
      </w:r>
      <w:proofErr w:type="spellStart"/>
      <w:r w:rsidRPr="00966F5D">
        <w:rPr>
          <w:rFonts w:ascii="Times New Roman" w:hAnsi="Times New Roman" w:cs="Times New Roman"/>
          <w:sz w:val="24"/>
          <w:szCs w:val="24"/>
        </w:rPr>
        <w:t>Treher</w:t>
      </w:r>
      <w:proofErr w:type="spellEnd"/>
      <w:r w:rsidRPr="00966F5D">
        <w:rPr>
          <w:rFonts w:ascii="Times New Roman" w:hAnsi="Times New Roman" w:cs="Times New Roman"/>
          <w:sz w:val="24"/>
          <w:szCs w:val="24"/>
        </w:rPr>
        <w:t>, 2011) después de reflexión y así, desarrollar las correspondientes habilidades y marcos de pensamiento.</w:t>
      </w:r>
    </w:p>
    <w:p w:rsidR="00F80EA1" w:rsidRPr="00966F5D" w:rsidRDefault="00F80EA1"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El desarrollo sustentable, como objeto de estudio, no puede estar restringido por los métodos tradicionales de enseñanza. Tratar de forzarlo en las </w:t>
      </w:r>
      <w:proofErr w:type="spellStart"/>
      <w:r w:rsidRPr="00966F5D">
        <w:rPr>
          <w:rFonts w:ascii="Times New Roman" w:hAnsi="Times New Roman" w:cs="Times New Roman"/>
          <w:sz w:val="24"/>
          <w:szCs w:val="24"/>
        </w:rPr>
        <w:t>curriculas</w:t>
      </w:r>
      <w:proofErr w:type="spellEnd"/>
      <w:r w:rsidRPr="00966F5D">
        <w:rPr>
          <w:rFonts w:ascii="Times New Roman" w:hAnsi="Times New Roman" w:cs="Times New Roman"/>
          <w:sz w:val="24"/>
          <w:szCs w:val="24"/>
        </w:rPr>
        <w:t xml:space="preserve"> genera las mismas barreras en clase que con el público general al tratar de generar conciencia entre la población. La sustentabilidad requiere del pensamiento sistémico, de actividades teórico prácticas y de </w:t>
      </w:r>
      <w:proofErr w:type="spellStart"/>
      <w:r w:rsidRPr="00966F5D">
        <w:rPr>
          <w:rFonts w:ascii="Times New Roman" w:hAnsi="Times New Roman" w:cs="Times New Roman"/>
          <w:sz w:val="24"/>
          <w:szCs w:val="24"/>
        </w:rPr>
        <w:t>multidisciplina</w:t>
      </w:r>
      <w:proofErr w:type="spellEnd"/>
      <w:r w:rsidRPr="00966F5D">
        <w:rPr>
          <w:rFonts w:ascii="Times New Roman" w:hAnsi="Times New Roman" w:cs="Times New Roman"/>
          <w:sz w:val="24"/>
          <w:szCs w:val="24"/>
        </w:rPr>
        <w:t>.</w:t>
      </w:r>
      <w:r w:rsidR="00BC3041">
        <w:rPr>
          <w:rFonts w:ascii="Times New Roman" w:hAnsi="Times New Roman" w:cs="Times New Roman"/>
          <w:sz w:val="24"/>
          <w:szCs w:val="24"/>
        </w:rPr>
        <w:t xml:space="preserve"> </w:t>
      </w:r>
      <w:r w:rsidR="00BC3041" w:rsidRPr="00BC3041">
        <w:rPr>
          <w:rFonts w:ascii="Times New Roman" w:hAnsi="Times New Roman" w:cs="Times New Roman"/>
          <w:sz w:val="24"/>
          <w:szCs w:val="24"/>
        </w:rPr>
        <w:t xml:space="preserve">En palabras de </w:t>
      </w:r>
      <w:proofErr w:type="spellStart"/>
      <w:r w:rsidR="00BC3041" w:rsidRPr="00BC3041">
        <w:rPr>
          <w:rFonts w:ascii="Times New Roman" w:hAnsi="Times New Roman" w:cs="Times New Roman"/>
          <w:sz w:val="24"/>
          <w:szCs w:val="24"/>
        </w:rPr>
        <w:t>Ezio</w:t>
      </w:r>
      <w:proofErr w:type="spellEnd"/>
      <w:r w:rsidR="00BC3041" w:rsidRPr="00BC3041">
        <w:rPr>
          <w:rFonts w:ascii="Times New Roman" w:hAnsi="Times New Roman" w:cs="Times New Roman"/>
          <w:sz w:val="24"/>
          <w:szCs w:val="24"/>
        </w:rPr>
        <w:t xml:space="preserve"> </w:t>
      </w:r>
      <w:proofErr w:type="spellStart"/>
      <w:r w:rsidR="00BC3041" w:rsidRPr="00BC3041">
        <w:rPr>
          <w:rFonts w:ascii="Times New Roman" w:hAnsi="Times New Roman" w:cs="Times New Roman"/>
          <w:sz w:val="24"/>
          <w:szCs w:val="24"/>
        </w:rPr>
        <w:t>Mazini</w:t>
      </w:r>
      <w:proofErr w:type="spellEnd"/>
      <w:r w:rsidR="00BC3041" w:rsidRPr="00BC3041">
        <w:rPr>
          <w:rFonts w:ascii="Times New Roman" w:hAnsi="Times New Roman" w:cs="Times New Roman"/>
          <w:sz w:val="24"/>
          <w:szCs w:val="24"/>
        </w:rPr>
        <w:t xml:space="preserve"> (2006) </w:t>
      </w:r>
      <w:r w:rsidR="00556170">
        <w:rPr>
          <w:rFonts w:ascii="Times New Roman" w:hAnsi="Times New Roman" w:cs="Times New Roman"/>
          <w:sz w:val="24"/>
          <w:szCs w:val="24"/>
        </w:rPr>
        <w:t xml:space="preserve">se debe </w:t>
      </w:r>
      <w:r w:rsidR="00BC3041" w:rsidRPr="00BC3041">
        <w:rPr>
          <w:rFonts w:ascii="Times New Roman" w:hAnsi="Times New Roman" w:cs="Times New Roman"/>
          <w:sz w:val="24"/>
          <w:szCs w:val="24"/>
        </w:rPr>
        <w:t>e</w:t>
      </w:r>
      <w:r w:rsidR="00556170">
        <w:rPr>
          <w:rFonts w:ascii="Times New Roman" w:hAnsi="Times New Roman" w:cs="Times New Roman"/>
          <w:sz w:val="24"/>
          <w:szCs w:val="24"/>
        </w:rPr>
        <w:t xml:space="preserve">ntender que la sustentabilidad </w:t>
      </w:r>
      <w:r w:rsidR="00BC3041" w:rsidRPr="00BC3041">
        <w:rPr>
          <w:rFonts w:ascii="Times New Roman" w:hAnsi="Times New Roman" w:cs="Times New Roman"/>
          <w:sz w:val="24"/>
          <w:szCs w:val="24"/>
        </w:rPr>
        <w:t>no es un p</w:t>
      </w:r>
      <w:r w:rsidR="00556170">
        <w:rPr>
          <w:rFonts w:ascii="Times New Roman" w:hAnsi="Times New Roman" w:cs="Times New Roman"/>
          <w:sz w:val="24"/>
          <w:szCs w:val="24"/>
        </w:rPr>
        <w:t>arche que se le puede agregar a los</w:t>
      </w:r>
      <w:r w:rsidR="00BC3041" w:rsidRPr="00BC3041">
        <w:rPr>
          <w:rFonts w:ascii="Times New Roman" w:hAnsi="Times New Roman" w:cs="Times New Roman"/>
          <w:sz w:val="24"/>
          <w:szCs w:val="24"/>
        </w:rPr>
        <w:t xml:space="preserve"> proyecto una vez llegado a la propuesta final, </w:t>
      </w:r>
      <w:r w:rsidR="00556170">
        <w:rPr>
          <w:rFonts w:ascii="Times New Roman" w:hAnsi="Times New Roman" w:cs="Times New Roman"/>
          <w:sz w:val="24"/>
          <w:szCs w:val="24"/>
        </w:rPr>
        <w:t>si no como una filosofía de hacer las cosas</w:t>
      </w:r>
      <w:r w:rsidR="00BC3041" w:rsidRPr="00BC3041">
        <w:rPr>
          <w:rFonts w:ascii="Times New Roman" w:hAnsi="Times New Roman" w:cs="Times New Roman"/>
          <w:sz w:val="24"/>
          <w:szCs w:val="24"/>
        </w:rPr>
        <w:t>.</w:t>
      </w:r>
    </w:p>
    <w:p w:rsidR="00F80EA1" w:rsidRPr="00966F5D" w:rsidRDefault="00F80EA1" w:rsidP="00966F5D">
      <w:pPr>
        <w:spacing w:line="360" w:lineRule="auto"/>
        <w:contextualSpacing/>
        <w:jc w:val="both"/>
        <w:rPr>
          <w:rFonts w:ascii="Times New Roman" w:hAnsi="Times New Roman" w:cs="Times New Roman"/>
          <w:sz w:val="24"/>
          <w:szCs w:val="24"/>
        </w:rPr>
      </w:pPr>
    </w:p>
    <w:p w:rsidR="002C55FE"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La gente no va a apropiarse del conocimiento a menos que se genere un proceso de aprendizaje responsivo y dinámico, ya que la sustentabilidad se le considera por ellos como algo removido de las experiencias cotidianas. </w:t>
      </w:r>
      <w:r w:rsidR="00BC3041" w:rsidRPr="00BC3041">
        <w:rPr>
          <w:rFonts w:ascii="Times New Roman" w:hAnsi="Times New Roman" w:cs="Times New Roman"/>
          <w:sz w:val="24"/>
          <w:szCs w:val="24"/>
        </w:rPr>
        <w:t xml:space="preserve">De acuerdo a </w:t>
      </w:r>
      <w:proofErr w:type="spellStart"/>
      <w:r w:rsidR="00BC3041" w:rsidRPr="00BC3041">
        <w:rPr>
          <w:rFonts w:ascii="Times New Roman" w:hAnsi="Times New Roman" w:cs="Times New Roman"/>
          <w:sz w:val="24"/>
          <w:szCs w:val="24"/>
        </w:rPr>
        <w:t>Yrjö</w:t>
      </w:r>
      <w:proofErr w:type="spellEnd"/>
      <w:r w:rsidR="00BC3041" w:rsidRPr="00BC3041">
        <w:rPr>
          <w:rFonts w:ascii="Times New Roman" w:hAnsi="Times New Roman" w:cs="Times New Roman"/>
          <w:sz w:val="24"/>
          <w:szCs w:val="24"/>
        </w:rPr>
        <w:t xml:space="preserve"> </w:t>
      </w:r>
      <w:proofErr w:type="spellStart"/>
      <w:r w:rsidR="00BC3041" w:rsidRPr="00BC3041">
        <w:rPr>
          <w:rFonts w:ascii="Times New Roman" w:hAnsi="Times New Roman" w:cs="Times New Roman"/>
          <w:sz w:val="24"/>
          <w:szCs w:val="24"/>
        </w:rPr>
        <w:t>Sotamaa</w:t>
      </w:r>
      <w:proofErr w:type="spellEnd"/>
      <w:r w:rsidR="00BC3041" w:rsidRPr="00BC3041">
        <w:rPr>
          <w:rFonts w:ascii="Times New Roman" w:hAnsi="Times New Roman" w:cs="Times New Roman"/>
          <w:sz w:val="24"/>
          <w:szCs w:val="24"/>
        </w:rPr>
        <w:t xml:space="preserve"> (2006), presidente emérito de la Universidad de Arte y Diseño de Helsinki, es necesario que los alumnos (en este caso en particular, los de diseño) sean conscientes de las repercusiones globales y locales que sus acciones tengan, así como que desarrollen una voluntad de servicio hacia la sociedad; que la promoción de los derechos humanos, equidad, libertad de expresión, protección a la diversidad son entre otros, una parte integral de la educación y de la misión de las instituciones de educación superior. Los retos que presentan la globalización, el multiculturalismo y el progreso de la ciencia y la tecnología son grandes, si queremos generar un futuro más sostenible.</w:t>
      </w:r>
    </w:p>
    <w:p w:rsidR="00BC3041" w:rsidRDefault="00BC3041" w:rsidP="00966F5D">
      <w:pPr>
        <w:spacing w:line="360" w:lineRule="auto"/>
        <w:contextualSpacing/>
        <w:jc w:val="both"/>
        <w:rPr>
          <w:rFonts w:ascii="Times New Roman" w:hAnsi="Times New Roman" w:cs="Times New Roman"/>
          <w:sz w:val="24"/>
          <w:szCs w:val="24"/>
        </w:rPr>
      </w:pPr>
    </w:p>
    <w:p w:rsidR="00F80EA1" w:rsidRDefault="00BC3041" w:rsidP="00966F5D">
      <w:pPr>
        <w:spacing w:line="360" w:lineRule="auto"/>
        <w:contextualSpacing/>
        <w:jc w:val="both"/>
        <w:rPr>
          <w:rFonts w:ascii="Times New Roman" w:hAnsi="Times New Roman" w:cs="Times New Roman"/>
          <w:sz w:val="24"/>
          <w:szCs w:val="24"/>
        </w:rPr>
      </w:pPr>
      <w:r w:rsidRPr="00BC3041">
        <w:rPr>
          <w:rFonts w:ascii="Times New Roman" w:hAnsi="Times New Roman" w:cs="Times New Roman"/>
          <w:sz w:val="24"/>
          <w:szCs w:val="24"/>
        </w:rPr>
        <w:t>Un factor que determina que tanto un alumno acepte la temática sustentable en el diseño es el de la responsabilidad del diseñador en la situación presente así como adicionalmente, que tan difícil se vea la tarea. Hay que hacer énfasis que no es lo mismo el proceso de desarrollo sustentable y la sustentabilidad como meta, al igual que hacer notar que la sustentabilidad, como menciona Scott, no es un estado idílico estático, sino un proceso dinámico (Scott, 2002).</w:t>
      </w:r>
    </w:p>
    <w:p w:rsidR="0045544C" w:rsidRPr="00966F5D" w:rsidRDefault="0045544C"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lastRenderedPageBreak/>
        <w:t>Los juegos de mesa, entendidos como aquellos que requieren de la participación de dos o más jugadores utilizando dados, tableros, cartas y otros elementos sencillos, pueden ser utilizados como una posible solución debido a que el acto de jugar está integrado en el proceso de aprendizaje de las personas desde el inicio. El uso de juegos de mesa permite además aprovechar la tendencia que tiene la gente de crear patrones para deducir información e incorporar dichos patrones a sus hábitos diarios.</w:t>
      </w:r>
    </w:p>
    <w:p w:rsidR="002C55FE" w:rsidRPr="00966F5D" w:rsidRDefault="002C55FE" w:rsidP="00966F5D">
      <w:pPr>
        <w:spacing w:line="360" w:lineRule="auto"/>
        <w:contextualSpacing/>
        <w:jc w:val="both"/>
        <w:rPr>
          <w:rFonts w:ascii="Times New Roman" w:hAnsi="Times New Roman" w:cs="Times New Roman"/>
          <w:b/>
          <w:sz w:val="24"/>
          <w:szCs w:val="24"/>
        </w:rPr>
      </w:pPr>
    </w:p>
    <w:p w:rsidR="002C55FE" w:rsidRPr="00966F5D" w:rsidRDefault="002C55FE" w:rsidP="00966F5D">
      <w:pPr>
        <w:spacing w:line="360" w:lineRule="auto"/>
        <w:contextualSpacing/>
        <w:jc w:val="both"/>
        <w:rPr>
          <w:rFonts w:ascii="Times New Roman" w:hAnsi="Times New Roman" w:cs="Times New Roman"/>
          <w:b/>
          <w:sz w:val="24"/>
          <w:szCs w:val="24"/>
        </w:rPr>
      </w:pPr>
      <w:r w:rsidRPr="00966F5D">
        <w:rPr>
          <w:rFonts w:ascii="Times New Roman" w:hAnsi="Times New Roman" w:cs="Times New Roman"/>
          <w:b/>
          <w:sz w:val="24"/>
          <w:szCs w:val="24"/>
        </w:rPr>
        <w:t>2</w:t>
      </w:r>
      <w:r w:rsidR="00F80EA1" w:rsidRPr="00966F5D">
        <w:rPr>
          <w:rFonts w:ascii="Times New Roman" w:hAnsi="Times New Roman" w:cs="Times New Roman"/>
          <w:b/>
          <w:sz w:val="24"/>
          <w:szCs w:val="24"/>
        </w:rPr>
        <w:t xml:space="preserve">. </w:t>
      </w:r>
      <w:r w:rsidRPr="00966F5D">
        <w:rPr>
          <w:rFonts w:ascii="Times New Roman" w:hAnsi="Times New Roman" w:cs="Times New Roman"/>
          <w:b/>
          <w:sz w:val="24"/>
          <w:szCs w:val="24"/>
        </w:rPr>
        <w:t>Pedagogía lúdica</w:t>
      </w:r>
    </w:p>
    <w:p w:rsidR="008F5A5A" w:rsidRPr="00966F5D" w:rsidRDefault="008F5A5A"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El concepto de la pedagogía lúdica se lo toma como un instrumento eficaz para el desarrollo humano, a lo largo de la vida, a su contribución en el desarrollo físico e intelectual durante la infancia y  la adolescencia, y en la juventud y la adultez ayuda a reafirmar aspectos como la personalidad y la posibilidad de enfrentar retos y resolver problemas cotidianos.</w:t>
      </w: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El acercamiento al estudiante universitario mediante las actividades lúdicas, permite la interacción y el crecimiento personal y colectivo, logrando conocer intereses, necesidades, potencialidades y dificultades.</w:t>
      </w: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 Es interesante la práctica de la lúdica en el aula de clase.</w:t>
      </w:r>
    </w:p>
    <w:p w:rsidR="008F5A5A" w:rsidRPr="00966F5D" w:rsidRDefault="008F5A5A"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numPr>
          <w:ilvl w:val="0"/>
          <w:numId w:val="5"/>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Hay mayor creatividad</w:t>
      </w:r>
    </w:p>
    <w:p w:rsidR="002C55FE" w:rsidRPr="00966F5D" w:rsidRDefault="002C55FE" w:rsidP="00966F5D">
      <w:pPr>
        <w:numPr>
          <w:ilvl w:val="0"/>
          <w:numId w:val="5"/>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Se mejora la comunicación</w:t>
      </w:r>
    </w:p>
    <w:p w:rsidR="002C55FE" w:rsidRPr="00966F5D" w:rsidRDefault="002C55FE" w:rsidP="00966F5D">
      <w:pPr>
        <w:numPr>
          <w:ilvl w:val="0"/>
          <w:numId w:val="5"/>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Facilita la enseñanza aprendizaje  </w:t>
      </w:r>
    </w:p>
    <w:p w:rsidR="00F80EA1" w:rsidRPr="00966F5D" w:rsidRDefault="00F80EA1" w:rsidP="00966F5D">
      <w:pPr>
        <w:spacing w:after="24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24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Rescatar el juego como actividad existencial del ser humano y convertirlo en la mejor estrategia didáctica es el objeto de la presente investigación. Intenta proponer un enfoque renovado y a la vez de síntesis, sobre la situación de enseñanza-aprendizaje, entendida como una actividad vital, en la que el docente y el estudiante de diseño se relacionan para interactuar en un clima lúdico.</w:t>
      </w:r>
    </w:p>
    <w:p w:rsidR="008F5A5A" w:rsidRDefault="008F5A5A" w:rsidP="00966F5D">
      <w:pPr>
        <w:spacing w:after="240" w:line="360" w:lineRule="auto"/>
        <w:contextualSpacing/>
        <w:jc w:val="both"/>
        <w:rPr>
          <w:rFonts w:ascii="Times New Roman" w:eastAsia="Times New Roman" w:hAnsi="Times New Roman" w:cs="Times New Roman"/>
          <w:sz w:val="24"/>
          <w:szCs w:val="24"/>
          <w:lang w:eastAsia="es-ES"/>
        </w:rPr>
      </w:pPr>
    </w:p>
    <w:p w:rsidR="001474AC" w:rsidRDefault="001474AC" w:rsidP="00966F5D">
      <w:pPr>
        <w:spacing w:after="240" w:line="360" w:lineRule="auto"/>
        <w:contextualSpacing/>
        <w:jc w:val="both"/>
        <w:rPr>
          <w:rFonts w:ascii="Times New Roman" w:eastAsia="Times New Roman" w:hAnsi="Times New Roman" w:cs="Times New Roman"/>
          <w:sz w:val="24"/>
          <w:szCs w:val="24"/>
          <w:lang w:eastAsia="es-ES"/>
        </w:rPr>
      </w:pPr>
    </w:p>
    <w:p w:rsidR="001474AC" w:rsidRPr="00966F5D" w:rsidRDefault="001474AC" w:rsidP="00966F5D">
      <w:pPr>
        <w:spacing w:after="24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lastRenderedPageBreak/>
        <w:t>Algunos principios y hechos que justifican la necesidad de construir una </w:t>
      </w:r>
      <w:r w:rsidRPr="00966F5D">
        <w:rPr>
          <w:rFonts w:ascii="Times New Roman" w:eastAsia="Times New Roman" w:hAnsi="Times New Roman" w:cs="Times New Roman"/>
          <w:bCs/>
          <w:sz w:val="24"/>
          <w:szCs w:val="24"/>
          <w:lang w:eastAsia="es-ES"/>
        </w:rPr>
        <w:t>Pedagogía Lúdica</w:t>
      </w:r>
      <w:r w:rsidRPr="00966F5D">
        <w:rPr>
          <w:rFonts w:ascii="Times New Roman" w:eastAsia="Times New Roman" w:hAnsi="Times New Roman" w:cs="Times New Roman"/>
          <w:sz w:val="24"/>
          <w:szCs w:val="24"/>
          <w:lang w:eastAsia="es-ES"/>
        </w:rPr>
        <w:t>.</w:t>
      </w:r>
    </w:p>
    <w:p w:rsidR="008F5A5A" w:rsidRPr="00966F5D" w:rsidRDefault="008F5A5A"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bCs/>
          <w:sz w:val="24"/>
          <w:szCs w:val="24"/>
          <w:lang w:eastAsia="es-ES"/>
        </w:rPr>
        <w:t>El juego es un modo de ser existencial del hombre y de los animales superiores.</w:t>
      </w: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bCs/>
          <w:sz w:val="24"/>
          <w:szCs w:val="24"/>
          <w:lang w:eastAsia="es-ES"/>
        </w:rPr>
        <w:t>El juego como actividad creadora sólo se da a nivel humano.</w:t>
      </w: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bCs/>
          <w:sz w:val="24"/>
          <w:szCs w:val="24"/>
          <w:lang w:eastAsia="es-ES"/>
        </w:rPr>
        <w:t>Arte, Ciencia y Religión son a menudo juegos serios</w:t>
      </w: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bCs/>
          <w:sz w:val="24"/>
          <w:szCs w:val="24"/>
          <w:lang w:eastAsia="es-ES"/>
        </w:rPr>
        <w:t>El hombre juega creativa y libremente.</w:t>
      </w: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bCs/>
          <w:sz w:val="24"/>
          <w:szCs w:val="24"/>
          <w:lang w:eastAsia="es-ES"/>
        </w:rPr>
        <w:t>El niño aprende jugando (Experiencia vivencial).</w:t>
      </w: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bCs/>
          <w:sz w:val="24"/>
          <w:szCs w:val="24"/>
          <w:lang w:eastAsia="es-ES"/>
        </w:rPr>
        <w:t>El juego abre horizontes de posibilidades.</w:t>
      </w:r>
    </w:p>
    <w:p w:rsidR="002C55FE" w:rsidRPr="00966F5D" w:rsidRDefault="002C55FE" w:rsidP="00966F5D">
      <w:pPr>
        <w:numPr>
          <w:ilvl w:val="0"/>
          <w:numId w:val="6"/>
        </w:numPr>
        <w:spacing w:after="0" w:line="360" w:lineRule="auto"/>
        <w:ind w:right="240"/>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24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Estas son algunas de las variables que debemos resolver, familia y educadores, en el complejo mundo en que vivimos al final del milenio.</w:t>
      </w:r>
    </w:p>
    <w:p w:rsidR="008F5A5A" w:rsidRPr="00966F5D" w:rsidRDefault="008F5A5A" w:rsidP="00966F5D">
      <w:pPr>
        <w:spacing w:after="24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La </w:t>
      </w:r>
      <w:r w:rsidRPr="00966F5D">
        <w:rPr>
          <w:rFonts w:ascii="Times New Roman" w:eastAsia="Times New Roman" w:hAnsi="Times New Roman" w:cs="Times New Roman"/>
          <w:bCs/>
          <w:sz w:val="24"/>
          <w:szCs w:val="24"/>
          <w:lang w:eastAsia="es-ES"/>
        </w:rPr>
        <w:t>Pedagogía Lúdica</w:t>
      </w:r>
      <w:r w:rsidRPr="00966F5D">
        <w:rPr>
          <w:rFonts w:ascii="Times New Roman" w:eastAsia="Times New Roman" w:hAnsi="Times New Roman" w:cs="Times New Roman"/>
          <w:sz w:val="24"/>
          <w:szCs w:val="24"/>
          <w:lang w:eastAsia="es-ES"/>
        </w:rPr>
        <w:t> se elabora como una respuesta a esta realidad y como un horizonte hacia nuevas posibilidades educativas. A partir de este marco, la necesidad de repensar con profundidad la importancia del </w:t>
      </w:r>
      <w:r w:rsidRPr="00966F5D">
        <w:rPr>
          <w:rFonts w:ascii="Times New Roman" w:eastAsia="Times New Roman" w:hAnsi="Times New Roman" w:cs="Times New Roman"/>
          <w:bCs/>
          <w:sz w:val="24"/>
          <w:szCs w:val="24"/>
          <w:lang w:eastAsia="es-ES"/>
        </w:rPr>
        <w:t>juego y del clima lúdico</w:t>
      </w:r>
      <w:r w:rsidRPr="00966F5D">
        <w:rPr>
          <w:rFonts w:ascii="Times New Roman" w:eastAsia="Times New Roman" w:hAnsi="Times New Roman" w:cs="Times New Roman"/>
          <w:sz w:val="24"/>
          <w:szCs w:val="24"/>
          <w:lang w:eastAsia="es-ES"/>
        </w:rPr>
        <w:t>, como ámbito de encuentro pedagógico e interacción didáctica se vuelve importante. La Filosofía  contemporánea otorga al juego y a la actividad lúdica un lugar des-tacado que responde a la valoración cada vez más alta y necesaria de la </w:t>
      </w:r>
      <w:r w:rsidRPr="00966F5D">
        <w:rPr>
          <w:rFonts w:ascii="Times New Roman" w:eastAsia="Times New Roman" w:hAnsi="Times New Roman" w:cs="Times New Roman"/>
          <w:bCs/>
          <w:sz w:val="24"/>
          <w:szCs w:val="24"/>
          <w:lang w:eastAsia="es-ES"/>
        </w:rPr>
        <w:t>creatividad</w:t>
      </w:r>
      <w:r w:rsidRPr="00966F5D">
        <w:rPr>
          <w:rFonts w:ascii="Times New Roman" w:eastAsia="Times New Roman" w:hAnsi="Times New Roman" w:cs="Times New Roman"/>
          <w:sz w:val="24"/>
          <w:szCs w:val="24"/>
          <w:lang w:eastAsia="es-ES"/>
        </w:rPr>
        <w:t xml:space="preserve">. </w:t>
      </w: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Para comprender el sentido del juego hay que partir de una concepción  relacional-dinámica de la realidad. Esta se nos revela en toda su complejidad (</w:t>
      </w:r>
      <w:proofErr w:type="spellStart"/>
      <w:r w:rsidRPr="00966F5D">
        <w:rPr>
          <w:rFonts w:ascii="Times New Roman" w:eastAsia="Times New Roman" w:hAnsi="Times New Roman" w:cs="Times New Roman"/>
          <w:sz w:val="24"/>
          <w:szCs w:val="24"/>
          <w:lang w:eastAsia="es-ES"/>
        </w:rPr>
        <w:t>multidimensionalidad</w:t>
      </w:r>
      <w:proofErr w:type="spellEnd"/>
      <w:r w:rsidRPr="00966F5D">
        <w:rPr>
          <w:rFonts w:ascii="Times New Roman" w:eastAsia="Times New Roman" w:hAnsi="Times New Roman" w:cs="Times New Roman"/>
          <w:sz w:val="24"/>
          <w:szCs w:val="24"/>
          <w:lang w:eastAsia="es-ES"/>
        </w:rPr>
        <w:t>) a partir de un método de abordaje vivencial-conceptual. Las múltiples variables que componen lo real -su cambio continuo- sólo pueden ser percibidas globalmente con una actitud  de inmersión y apertura, permanente juego de relaciones, que posibilitan la comprensión de nuevos y variados horizontes.</w:t>
      </w:r>
    </w:p>
    <w:p w:rsidR="002C55FE"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after="24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t>Para la Pedagogía Lúdica -el juego, actividad creadora- se convierte en una función educativa plena de sentido y significación. Dota de una singular ductilidad al educando/jugador que "se juega", se implica, en una experiencia libre y creadora. Le permite apelar, imaginariamente a su entorno y responder con nuevas acciones.</w:t>
      </w:r>
    </w:p>
    <w:p w:rsidR="008F5A5A" w:rsidRDefault="008F5A5A" w:rsidP="00966F5D">
      <w:pPr>
        <w:spacing w:after="240" w:line="360" w:lineRule="auto"/>
        <w:contextualSpacing/>
        <w:jc w:val="both"/>
        <w:rPr>
          <w:rFonts w:ascii="Times New Roman" w:eastAsia="Times New Roman" w:hAnsi="Times New Roman" w:cs="Times New Roman"/>
          <w:sz w:val="24"/>
          <w:szCs w:val="24"/>
          <w:lang w:eastAsia="es-ES"/>
        </w:rPr>
      </w:pPr>
    </w:p>
    <w:p w:rsidR="001474AC" w:rsidRPr="00966F5D" w:rsidRDefault="001474AC" w:rsidP="00966F5D">
      <w:pPr>
        <w:spacing w:after="240" w:line="360" w:lineRule="auto"/>
        <w:contextualSpacing/>
        <w:jc w:val="both"/>
        <w:rPr>
          <w:rFonts w:ascii="Times New Roman" w:eastAsia="Times New Roman" w:hAnsi="Times New Roman" w:cs="Times New Roman"/>
          <w:sz w:val="24"/>
          <w:szCs w:val="24"/>
          <w:lang w:eastAsia="es-ES"/>
        </w:rPr>
      </w:pPr>
    </w:p>
    <w:p w:rsidR="008F5A5A" w:rsidRPr="00966F5D" w:rsidRDefault="002C55FE" w:rsidP="00966F5D">
      <w:pPr>
        <w:spacing w:after="0" w:line="360" w:lineRule="auto"/>
        <w:contextualSpacing/>
        <w:jc w:val="both"/>
        <w:rPr>
          <w:rFonts w:ascii="Times New Roman" w:eastAsia="Times New Roman" w:hAnsi="Times New Roman" w:cs="Times New Roman"/>
          <w:sz w:val="24"/>
          <w:szCs w:val="24"/>
          <w:lang w:eastAsia="es-ES"/>
        </w:rPr>
      </w:pPr>
      <w:r w:rsidRPr="00966F5D">
        <w:rPr>
          <w:rFonts w:ascii="Times New Roman" w:eastAsia="Times New Roman" w:hAnsi="Times New Roman" w:cs="Times New Roman"/>
          <w:sz w:val="24"/>
          <w:szCs w:val="24"/>
          <w:lang w:eastAsia="es-ES"/>
        </w:rPr>
        <w:lastRenderedPageBreak/>
        <w:t>Esto lo forma  para asumir nuevos roles, cambios, complejidad y desafíos. Al poner en práctica la espontaneidad, le permite ser lo que es capaz de ser y hacer y proyectarlo. Jugar -"entrar en juego"- nos compromete globalmente, generando una tensión relacional / lúdica que nos posibilita recrear ámbitos de encuentro y ejercitar la libertad.</w:t>
      </w:r>
      <w:r w:rsidR="004D52C5" w:rsidRPr="00966F5D">
        <w:rPr>
          <w:rFonts w:ascii="Times New Roman" w:eastAsia="Times New Roman" w:hAnsi="Times New Roman" w:cs="Times New Roman"/>
          <w:sz w:val="24"/>
          <w:szCs w:val="24"/>
          <w:lang w:eastAsia="es-ES"/>
        </w:rPr>
        <w:t xml:space="preserve"> </w:t>
      </w:r>
      <w:r w:rsidRPr="00966F5D">
        <w:rPr>
          <w:rFonts w:ascii="Times New Roman" w:eastAsia="Times New Roman" w:hAnsi="Times New Roman" w:cs="Times New Roman"/>
          <w:sz w:val="24"/>
          <w:szCs w:val="24"/>
          <w:lang w:eastAsia="es-ES"/>
        </w:rPr>
        <w:t xml:space="preserve">El abordaje pedagógico del juego es complejo. Desde una perspectiva antropológica, el juego se </w:t>
      </w:r>
      <w:proofErr w:type="spellStart"/>
      <w:r w:rsidRPr="00966F5D">
        <w:rPr>
          <w:rFonts w:ascii="Times New Roman" w:eastAsia="Times New Roman" w:hAnsi="Times New Roman" w:cs="Times New Roman"/>
          <w:sz w:val="24"/>
          <w:szCs w:val="24"/>
          <w:lang w:eastAsia="es-ES"/>
        </w:rPr>
        <w:t>fenomeniza</w:t>
      </w:r>
      <w:proofErr w:type="spellEnd"/>
      <w:r w:rsidRPr="00966F5D">
        <w:rPr>
          <w:rFonts w:ascii="Times New Roman" w:eastAsia="Times New Roman" w:hAnsi="Times New Roman" w:cs="Times New Roman"/>
          <w:sz w:val="24"/>
          <w:szCs w:val="24"/>
          <w:lang w:eastAsia="es-ES"/>
        </w:rPr>
        <w:t xml:space="preserve">  como una actividad creativa esencialmente humana. </w:t>
      </w:r>
    </w:p>
    <w:p w:rsidR="004D52C5" w:rsidRPr="00966F5D" w:rsidRDefault="004D52C5" w:rsidP="00966F5D">
      <w:pPr>
        <w:spacing w:after="0" w:line="360" w:lineRule="auto"/>
        <w:contextualSpacing/>
        <w:jc w:val="both"/>
        <w:rPr>
          <w:rFonts w:ascii="Times New Roman" w:eastAsia="Times New Roman" w:hAnsi="Times New Roman" w:cs="Times New Roman"/>
          <w:sz w:val="24"/>
          <w:szCs w:val="24"/>
          <w:lang w:eastAsia="es-ES"/>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De esta forma, tanto la </w:t>
      </w:r>
      <w:proofErr w:type="spellStart"/>
      <w:r w:rsidRPr="00966F5D">
        <w:rPr>
          <w:rFonts w:ascii="Times New Roman" w:hAnsi="Times New Roman" w:cs="Times New Roman"/>
          <w:sz w:val="24"/>
          <w:szCs w:val="24"/>
        </w:rPr>
        <w:t>Andragogía</w:t>
      </w:r>
      <w:proofErr w:type="spellEnd"/>
      <w:r w:rsidRPr="00966F5D">
        <w:rPr>
          <w:rFonts w:ascii="Times New Roman" w:hAnsi="Times New Roman" w:cs="Times New Roman"/>
          <w:sz w:val="24"/>
          <w:szCs w:val="24"/>
        </w:rPr>
        <w:t xml:space="preserve"> como la pedagogía se relacionan con el acto multifactorial que es el aprendizaje humano. Los conceptos tienen implicaciones educativas en muchos niveles, el aspecto cognitivo de este proyecto es aplicarlo en el aula, para lo cual se revisa el enfoque cognitivo de dos conceptos centrales: el aspecto experiencial del aprendizaje y el pensamiento reflexivo, así como el concepto de aprendizaje auto dirigido</w:t>
      </w:r>
      <w:r w:rsidR="004D52C5" w:rsidRPr="00966F5D">
        <w:rPr>
          <w:rFonts w:ascii="Times New Roman" w:hAnsi="Times New Roman" w:cs="Times New Roman"/>
          <w:sz w:val="24"/>
          <w:szCs w:val="24"/>
        </w:rPr>
        <w:t>, donde e</w:t>
      </w:r>
      <w:r w:rsidRPr="00966F5D">
        <w:rPr>
          <w:rFonts w:ascii="Times New Roman" w:hAnsi="Times New Roman" w:cs="Times New Roman"/>
          <w:sz w:val="24"/>
          <w:szCs w:val="24"/>
        </w:rPr>
        <w:t>l aprendizaje necesita aplicarse.</w:t>
      </w:r>
    </w:p>
    <w:p w:rsidR="00C72F6B" w:rsidRDefault="00C72F6B" w:rsidP="00966F5D">
      <w:pPr>
        <w:spacing w:line="360" w:lineRule="auto"/>
        <w:contextualSpacing/>
        <w:jc w:val="both"/>
        <w:rPr>
          <w:rFonts w:ascii="Times New Roman" w:hAnsi="Times New Roman" w:cs="Times New Roman"/>
          <w:b/>
          <w:sz w:val="24"/>
          <w:szCs w:val="24"/>
        </w:rPr>
      </w:pPr>
    </w:p>
    <w:p w:rsidR="002C55FE" w:rsidRPr="00966F5D" w:rsidRDefault="004D52C5" w:rsidP="00966F5D">
      <w:pPr>
        <w:spacing w:line="360" w:lineRule="auto"/>
        <w:contextualSpacing/>
        <w:jc w:val="both"/>
        <w:rPr>
          <w:rFonts w:ascii="Times New Roman" w:hAnsi="Times New Roman" w:cs="Times New Roman"/>
          <w:b/>
          <w:sz w:val="24"/>
          <w:szCs w:val="24"/>
        </w:rPr>
      </w:pPr>
      <w:r w:rsidRPr="00966F5D">
        <w:rPr>
          <w:rFonts w:ascii="Times New Roman" w:hAnsi="Times New Roman" w:cs="Times New Roman"/>
          <w:b/>
          <w:sz w:val="24"/>
          <w:szCs w:val="24"/>
        </w:rPr>
        <w:t>3</w:t>
      </w:r>
      <w:r w:rsidR="00F80EA1" w:rsidRPr="00966F5D">
        <w:rPr>
          <w:rFonts w:ascii="Times New Roman" w:hAnsi="Times New Roman" w:cs="Times New Roman"/>
          <w:b/>
          <w:sz w:val="24"/>
          <w:szCs w:val="24"/>
        </w:rPr>
        <w:t>.</w:t>
      </w:r>
      <w:r w:rsidR="002C55FE" w:rsidRPr="00966F5D">
        <w:rPr>
          <w:rFonts w:ascii="Times New Roman" w:hAnsi="Times New Roman" w:cs="Times New Roman"/>
          <w:b/>
          <w:sz w:val="24"/>
          <w:szCs w:val="24"/>
        </w:rPr>
        <w:t xml:space="preserve"> Juegos de mesa</w:t>
      </w:r>
    </w:p>
    <w:p w:rsidR="008F5A5A" w:rsidRPr="00966F5D" w:rsidRDefault="008F5A5A" w:rsidP="00966F5D">
      <w:pPr>
        <w:spacing w:line="360" w:lineRule="auto"/>
        <w:contextualSpacing/>
        <w:jc w:val="both"/>
        <w:rPr>
          <w:rFonts w:ascii="Times New Roman" w:hAnsi="Times New Roman" w:cs="Times New Roman"/>
          <w:b/>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La transición hacia el desarrollo sustentable requiere un cambio radical en la forma que pensamos en relación a como se produce y se consume. Los juegos de mesa más complejos (a diferencia de los tradicionales de fiesta como loterías o turistas) orillan al jugador a pensar de manera sistémica el balanceo de diversas condiciones, acciones y ramificaciones de las mismas para generar una estrategia que le permita cumplir con las condiciones o rutas críticas de victoria de manera exitosa.  La teoría de juegos estudia la elección de la conducta óptima cuando los costes y los beneficios de cada opción no están fijados de antemano, sino que dependen de las elecciones de otros individuos. </w:t>
      </w:r>
      <w:r w:rsidR="00556170">
        <w:rPr>
          <w:rFonts w:ascii="Times New Roman" w:hAnsi="Times New Roman" w:cs="Times New Roman"/>
          <w:sz w:val="24"/>
          <w:szCs w:val="24"/>
        </w:rPr>
        <w:t xml:space="preserve">Uno de los ejemplos más conocidos de la teoría de juegos es la Tragedia de los comunes de </w:t>
      </w:r>
      <w:proofErr w:type="spellStart"/>
      <w:r w:rsidR="00556170">
        <w:rPr>
          <w:rFonts w:ascii="Times New Roman" w:hAnsi="Times New Roman" w:cs="Times New Roman"/>
          <w:sz w:val="24"/>
          <w:szCs w:val="24"/>
        </w:rPr>
        <w:t>Hardin</w:t>
      </w:r>
      <w:proofErr w:type="spellEnd"/>
      <w:r w:rsidR="00556170">
        <w:rPr>
          <w:rFonts w:ascii="Times New Roman" w:hAnsi="Times New Roman" w:cs="Times New Roman"/>
          <w:sz w:val="24"/>
          <w:szCs w:val="24"/>
        </w:rPr>
        <w:t xml:space="preserve">. </w:t>
      </w:r>
      <w:r w:rsidR="00556170" w:rsidRPr="00556170">
        <w:rPr>
          <w:rFonts w:ascii="Times New Roman" w:hAnsi="Times New Roman" w:cs="Times New Roman"/>
          <w:sz w:val="24"/>
          <w:szCs w:val="24"/>
        </w:rPr>
        <w:t xml:space="preserve">Tragedia de los comunes de </w:t>
      </w:r>
      <w:proofErr w:type="spellStart"/>
      <w:r w:rsidR="00556170" w:rsidRPr="00556170">
        <w:rPr>
          <w:rFonts w:ascii="Times New Roman" w:hAnsi="Times New Roman" w:cs="Times New Roman"/>
          <w:sz w:val="24"/>
          <w:szCs w:val="24"/>
        </w:rPr>
        <w:t>Hardin</w:t>
      </w:r>
      <w:proofErr w:type="spellEnd"/>
      <w:r w:rsidR="00556170" w:rsidRPr="00556170">
        <w:rPr>
          <w:rFonts w:ascii="Times New Roman" w:hAnsi="Times New Roman" w:cs="Times New Roman"/>
          <w:sz w:val="24"/>
          <w:szCs w:val="24"/>
        </w:rPr>
        <w:t xml:space="preserve">: La tragedia de los comunes, propuesta por </w:t>
      </w:r>
      <w:proofErr w:type="spellStart"/>
      <w:r w:rsidR="00556170" w:rsidRPr="00556170">
        <w:rPr>
          <w:rFonts w:ascii="Times New Roman" w:hAnsi="Times New Roman" w:cs="Times New Roman"/>
          <w:sz w:val="24"/>
          <w:szCs w:val="24"/>
        </w:rPr>
        <w:t>Hardin</w:t>
      </w:r>
      <w:proofErr w:type="spellEnd"/>
      <w:r w:rsidR="00556170" w:rsidRPr="00556170">
        <w:rPr>
          <w:rFonts w:ascii="Times New Roman" w:hAnsi="Times New Roman" w:cs="Times New Roman"/>
          <w:sz w:val="24"/>
          <w:szCs w:val="24"/>
        </w:rPr>
        <w:t xml:space="preserve">  en 1968 se plantea como como un dilema del prisionero colectivo. Individualmente, cada persona o jugador dentro del grupo tienen dos opciones: cooperar con el grupo o abandonarlo. La cooperación ocurre cuando los individuos acuerdan conservar determinado recurso para evitar una tragedia, esto es su desaparición. A través de la cooperación, ningún integrante debe consumir más que la parte que le corresponde de los recursos. Abandonar el grupo por el contrario, significa que uno de sus integrantes decide usar más que su parte </w:t>
      </w:r>
      <w:r w:rsidR="00556170" w:rsidRPr="00556170">
        <w:rPr>
          <w:rFonts w:ascii="Times New Roman" w:hAnsi="Times New Roman" w:cs="Times New Roman"/>
          <w:sz w:val="24"/>
          <w:szCs w:val="24"/>
        </w:rPr>
        <w:lastRenderedPageBreak/>
        <w:t>correspondiente, obteniendo más beneficios inmediatos y hasta cierto punto motivando al resto del grupo a seguir ese ejemplo. Esto inicia una carrera de consumo de recursos para obtener beneficios a corto plazo que termina por agotar estos antes de tiempo. La teoría de juegos indica que los individuos se benefician más actuando de manera independiente. Dado que los individuos buscan el beneficio propio antes que el común, la tragedia se presenta más frecuentemente de lo deseado.</w:t>
      </w:r>
      <w:r w:rsidR="00556170">
        <w:rPr>
          <w:rFonts w:ascii="Times New Roman" w:hAnsi="Times New Roman" w:cs="Times New Roman"/>
          <w:sz w:val="24"/>
          <w:szCs w:val="24"/>
        </w:rPr>
        <w:t xml:space="preserve"> Visto desde ese punto de vista es razonable entender la sustentabilidad como un juego de mesa donde las interacciones entre jugadores determinan el impacto social y ambiental de sus acciones. Siguiendo esta línea de pensamiento es posible plantear que los juegos de mesa pueden servir como puente para transmitir esta información sobre la sustentabilidad a los estudiantes.</w:t>
      </w:r>
    </w:p>
    <w:p w:rsidR="00C46707" w:rsidRPr="00966F5D" w:rsidRDefault="00C46707" w:rsidP="00966F5D">
      <w:pPr>
        <w:spacing w:line="360" w:lineRule="auto"/>
        <w:contextualSpacing/>
        <w:jc w:val="both"/>
        <w:rPr>
          <w:rFonts w:ascii="Times New Roman" w:hAnsi="Times New Roman" w:cs="Times New Roman"/>
          <w:sz w:val="24"/>
          <w:szCs w:val="24"/>
        </w:rPr>
      </w:pP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De acuerdo con Nicole </w:t>
      </w:r>
      <w:proofErr w:type="spellStart"/>
      <w:r w:rsidRPr="00966F5D">
        <w:rPr>
          <w:rFonts w:ascii="Times New Roman" w:hAnsi="Times New Roman" w:cs="Times New Roman"/>
          <w:sz w:val="24"/>
          <w:szCs w:val="24"/>
        </w:rPr>
        <w:t>Lazzaro</w:t>
      </w:r>
      <w:proofErr w:type="spellEnd"/>
      <w:r w:rsidRPr="00966F5D">
        <w:rPr>
          <w:rFonts w:ascii="Times New Roman" w:hAnsi="Times New Roman" w:cs="Times New Roman"/>
          <w:sz w:val="24"/>
          <w:szCs w:val="24"/>
        </w:rPr>
        <w:t xml:space="preserve"> (2004), la gente juega con los juegos de mesa por una o varias de las siguientes razones:</w:t>
      </w:r>
    </w:p>
    <w:p w:rsidR="00C46707" w:rsidRPr="00966F5D" w:rsidRDefault="00C46707" w:rsidP="00966F5D">
      <w:pPr>
        <w:spacing w:line="360" w:lineRule="auto"/>
        <w:contextualSpacing/>
        <w:jc w:val="both"/>
        <w:rPr>
          <w:rFonts w:ascii="Times New Roman" w:hAnsi="Times New Roman" w:cs="Times New Roman"/>
          <w:sz w:val="24"/>
          <w:szCs w:val="24"/>
        </w:rPr>
      </w:pP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1.</w:t>
      </w:r>
      <w:r w:rsidRPr="00966F5D">
        <w:rPr>
          <w:rFonts w:ascii="Times New Roman" w:hAnsi="Times New Roman" w:cs="Times New Roman"/>
          <w:sz w:val="24"/>
          <w:szCs w:val="24"/>
        </w:rPr>
        <w:tab/>
        <w:t xml:space="preserve">Diversión ‘dura’: los jugadores gustan de tener oportunidades donde se les rete, puedan formular estrategias y se requiera habilidades de resolución de problemas. </w:t>
      </w: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2.</w:t>
      </w:r>
      <w:r w:rsidRPr="00966F5D">
        <w:rPr>
          <w:rFonts w:ascii="Times New Roman" w:hAnsi="Times New Roman" w:cs="Times New Roman"/>
          <w:sz w:val="24"/>
          <w:szCs w:val="24"/>
        </w:rPr>
        <w:tab/>
        <w:t xml:space="preserve">Diversión ‘fácil’: los jugadores disfrutan de la intriga y la curiosidad, involucrándose totalmente en el juego a tal grado cuando este absorbe su completa atención o los conduce a una aventura excitante. </w:t>
      </w: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3.</w:t>
      </w:r>
      <w:r w:rsidRPr="00966F5D">
        <w:rPr>
          <w:rFonts w:ascii="Times New Roman" w:hAnsi="Times New Roman" w:cs="Times New Roman"/>
          <w:sz w:val="24"/>
          <w:szCs w:val="24"/>
        </w:rPr>
        <w:tab/>
        <w:t>Estados alterados: los jugadores atesoran el placer interno que genera el juego, en función de sus propiedades viscerales, cognitivas, conductivas y sociales.</w:t>
      </w: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4.</w:t>
      </w:r>
      <w:r w:rsidRPr="00966F5D">
        <w:rPr>
          <w:rFonts w:ascii="Times New Roman" w:hAnsi="Times New Roman" w:cs="Times New Roman"/>
          <w:sz w:val="24"/>
          <w:szCs w:val="24"/>
        </w:rPr>
        <w:tab/>
        <w:t>El factor ‘gente’: los jugadores usan los juegos por su valor generando experiencias sociales.</w:t>
      </w:r>
    </w:p>
    <w:p w:rsidR="00C46707" w:rsidRPr="00966F5D" w:rsidRDefault="00C46707" w:rsidP="00966F5D">
      <w:pPr>
        <w:spacing w:line="360" w:lineRule="auto"/>
        <w:contextualSpacing/>
        <w:jc w:val="both"/>
        <w:rPr>
          <w:rFonts w:ascii="Times New Roman" w:hAnsi="Times New Roman" w:cs="Times New Roman"/>
          <w:sz w:val="24"/>
          <w:szCs w:val="24"/>
        </w:rPr>
      </w:pP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Los juegos de mesa pueden ser definidos como un sistema matemático interactivo, hecho físico, usado para contar una historia (</w:t>
      </w:r>
      <w:proofErr w:type="spellStart"/>
      <w:r w:rsidRPr="00966F5D">
        <w:rPr>
          <w:rFonts w:ascii="Times New Roman" w:hAnsi="Times New Roman" w:cs="Times New Roman"/>
          <w:sz w:val="24"/>
          <w:szCs w:val="24"/>
        </w:rPr>
        <w:t>Daviau</w:t>
      </w:r>
      <w:proofErr w:type="spellEnd"/>
      <w:r w:rsidRPr="00966F5D">
        <w:rPr>
          <w:rFonts w:ascii="Times New Roman" w:hAnsi="Times New Roman" w:cs="Times New Roman"/>
          <w:sz w:val="24"/>
          <w:szCs w:val="24"/>
        </w:rPr>
        <w:t>, 2011). Dicho de otra manera, un juego de mesa es un compendio de reglas y mecánicas (que pueden depender de la suerte, la estrategia o ambos), diseñado dentro de un grupo de elementos físicos (tableros, papel, dados, gráficos, figurillas) y que conforman un tema o temas que proveen un esquema mental más amplio a los jugadores. Usualmente, los desarrolladores de los juegos de mesa usan esta frase para describir y por tanto establecer el concepto del juego (</w:t>
      </w:r>
      <w:proofErr w:type="spellStart"/>
      <w:r w:rsidRPr="00966F5D">
        <w:rPr>
          <w:rFonts w:ascii="Times New Roman" w:hAnsi="Times New Roman" w:cs="Times New Roman"/>
          <w:sz w:val="24"/>
          <w:szCs w:val="24"/>
        </w:rPr>
        <w:t>Forbeck</w:t>
      </w:r>
      <w:proofErr w:type="spellEnd"/>
      <w:r w:rsidRPr="00966F5D">
        <w:rPr>
          <w:rFonts w:ascii="Times New Roman" w:hAnsi="Times New Roman" w:cs="Times New Roman"/>
          <w:sz w:val="24"/>
          <w:szCs w:val="24"/>
        </w:rPr>
        <w:t>, 2011):</w:t>
      </w:r>
    </w:p>
    <w:p w:rsidR="00C46707" w:rsidRPr="00966F5D" w:rsidRDefault="00C46707" w:rsidP="00966F5D">
      <w:pPr>
        <w:spacing w:line="360" w:lineRule="auto"/>
        <w:contextualSpacing/>
        <w:jc w:val="both"/>
        <w:rPr>
          <w:rFonts w:ascii="Times New Roman" w:hAnsi="Times New Roman" w:cs="Times New Roman"/>
          <w:sz w:val="24"/>
          <w:szCs w:val="24"/>
        </w:rPr>
      </w:pPr>
    </w:p>
    <w:p w:rsidR="00C46707" w:rsidRPr="00966F5D"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lastRenderedPageBreak/>
        <w:t>“[Nombre del juego] es un(a) [categoría de] juego en el cuál [los jugadores o sus avatares] [hacen o compiten por algo] mediante [el uso de herramientas con los que el juego los provee]” (</w:t>
      </w:r>
      <w:proofErr w:type="spellStart"/>
      <w:r w:rsidRPr="00966F5D">
        <w:rPr>
          <w:rFonts w:ascii="Times New Roman" w:hAnsi="Times New Roman" w:cs="Times New Roman"/>
          <w:sz w:val="24"/>
          <w:szCs w:val="24"/>
        </w:rPr>
        <w:t>Forbeck</w:t>
      </w:r>
      <w:proofErr w:type="spellEnd"/>
      <w:r w:rsidRPr="00966F5D">
        <w:rPr>
          <w:rFonts w:ascii="Times New Roman" w:hAnsi="Times New Roman" w:cs="Times New Roman"/>
          <w:sz w:val="24"/>
          <w:szCs w:val="24"/>
        </w:rPr>
        <w:t>, 2011. p.p. 21)</w:t>
      </w:r>
    </w:p>
    <w:p w:rsidR="00C46707" w:rsidRPr="00966F5D" w:rsidRDefault="00C46707" w:rsidP="00966F5D">
      <w:pPr>
        <w:spacing w:line="360" w:lineRule="auto"/>
        <w:contextualSpacing/>
        <w:jc w:val="both"/>
        <w:rPr>
          <w:rFonts w:ascii="Times New Roman" w:hAnsi="Times New Roman" w:cs="Times New Roman"/>
          <w:sz w:val="24"/>
          <w:szCs w:val="24"/>
        </w:rPr>
      </w:pPr>
    </w:p>
    <w:p w:rsidR="00C46707" w:rsidRDefault="00C46707"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En este punto, se habla de metáforas (el tema) y mecánicas (pasos y reglas a seguir, ambos componentes necesarios. El primero es el que atrae al jugador al darle sentido a la existencia del juego; mientras que el segundo es el que dirige las interacciones entre jugadores para completar el objetivo del juego. Visto desde el punto de vista del Diseño Industrial y haciendo una equivalencia burda, la metáfora es el concepto de diseño que da origen a la forma que capta la atención del ojo del usuario, mientras que las mecánicas son los mecanismos que hacen que un diseño cumpla su función. </w:t>
      </w:r>
      <w:proofErr w:type="spellStart"/>
      <w:r w:rsidRPr="00966F5D">
        <w:rPr>
          <w:rFonts w:ascii="Times New Roman" w:hAnsi="Times New Roman" w:cs="Times New Roman"/>
          <w:sz w:val="24"/>
          <w:szCs w:val="24"/>
        </w:rPr>
        <w:t>Matt</w:t>
      </w:r>
      <w:proofErr w:type="spellEnd"/>
      <w:r w:rsidRPr="00966F5D">
        <w:rPr>
          <w:rFonts w:ascii="Times New Roman" w:hAnsi="Times New Roman" w:cs="Times New Roman"/>
          <w:sz w:val="24"/>
          <w:szCs w:val="24"/>
        </w:rPr>
        <w:t xml:space="preserve"> </w:t>
      </w:r>
      <w:proofErr w:type="spellStart"/>
      <w:r w:rsidRPr="00966F5D">
        <w:rPr>
          <w:rFonts w:ascii="Times New Roman" w:hAnsi="Times New Roman" w:cs="Times New Roman"/>
          <w:sz w:val="24"/>
          <w:szCs w:val="24"/>
        </w:rPr>
        <w:t>Forbeck</w:t>
      </w:r>
      <w:proofErr w:type="spellEnd"/>
      <w:r w:rsidRPr="00966F5D">
        <w:rPr>
          <w:rFonts w:ascii="Times New Roman" w:hAnsi="Times New Roman" w:cs="Times New Roman"/>
          <w:sz w:val="24"/>
          <w:szCs w:val="24"/>
        </w:rPr>
        <w:t xml:space="preserve"> (2011) considera que un juego sin mecánicas es un mero juguete o una historia. Un juego sin metáfora por otro lado, no es más que un problema matemático o un rompecabezas lógico. Los juegos tienen diferentes niveles de reglas y metáforas, unas más preponderantes que otras, dependiendo de la intención de su creador y del interés de los jugadores.</w:t>
      </w:r>
    </w:p>
    <w:p w:rsidR="00C72F6B" w:rsidRPr="00966F5D" w:rsidRDefault="00C72F6B"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En teoría de juegos, tradicionalmente y en función de esto podemos hablar de tres tipos de juegos de mesa: competitivos, colaborativos y cooperativos. El tipo de juego que se escoja determina en gran medida las mecánicas del juego (los pasos que se llevan para realizar determinada acción y la interacción entre diversos elementos del juego) y como estas funcionan para alcanzar el objetivo del juego. En este tenor es bueno tener en cuenta el pensamiento sistémico, que nos ayuda a encontrar las relaciones entre diversos elementos y como estas interactúan de manera localizada y sus repercusiones generales.</w:t>
      </w:r>
    </w:p>
    <w:p w:rsidR="008F5A5A" w:rsidRPr="00966F5D" w:rsidRDefault="008F5A5A" w:rsidP="00966F5D">
      <w:pPr>
        <w:spacing w:line="360" w:lineRule="auto"/>
        <w:contextualSpacing/>
        <w:jc w:val="both"/>
        <w:rPr>
          <w:rFonts w:ascii="Times New Roman" w:hAnsi="Times New Roman" w:cs="Times New Roman"/>
          <w:color w:val="FF0000"/>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Los juegos competitivos requieren que se desarrollen estrategias que se oponen a las acciones de los demás jugadores (Zagal et al, 2006). Un ejemplo muy básico sería el Monopolio o el </w:t>
      </w:r>
      <w:proofErr w:type="spellStart"/>
      <w:r w:rsidRPr="00966F5D">
        <w:rPr>
          <w:rFonts w:ascii="Times New Roman" w:hAnsi="Times New Roman" w:cs="Times New Roman"/>
          <w:sz w:val="24"/>
          <w:szCs w:val="24"/>
        </w:rPr>
        <w:t>Risk</w:t>
      </w:r>
      <w:proofErr w:type="spellEnd"/>
      <w:r w:rsidRPr="00966F5D">
        <w:rPr>
          <w:rFonts w:ascii="Times New Roman" w:hAnsi="Times New Roman" w:cs="Times New Roman"/>
          <w:sz w:val="24"/>
          <w:szCs w:val="24"/>
        </w:rPr>
        <w:t xml:space="preserve">, donde cada jugador trata de adquirir el mayor número de territorios mientras derrota o quiebra las fuerzas de sus rivales. Ejemplos más avanzados de estos juegos que elevan el nivel de estrategia serían </w:t>
      </w:r>
      <w:proofErr w:type="spellStart"/>
      <w:r w:rsidRPr="00966F5D">
        <w:rPr>
          <w:rFonts w:ascii="Times New Roman" w:hAnsi="Times New Roman" w:cs="Times New Roman"/>
          <w:sz w:val="24"/>
          <w:szCs w:val="24"/>
        </w:rPr>
        <w:t>Heroclix</w:t>
      </w:r>
      <w:proofErr w:type="spellEnd"/>
      <w:r w:rsidRPr="00966F5D">
        <w:rPr>
          <w:rFonts w:ascii="Times New Roman" w:hAnsi="Times New Roman" w:cs="Times New Roman"/>
          <w:sz w:val="24"/>
          <w:szCs w:val="24"/>
        </w:rPr>
        <w:t xml:space="preserve">, </w:t>
      </w:r>
      <w:proofErr w:type="spellStart"/>
      <w:r w:rsidRPr="00966F5D">
        <w:rPr>
          <w:rFonts w:ascii="Times New Roman" w:hAnsi="Times New Roman" w:cs="Times New Roman"/>
          <w:sz w:val="24"/>
          <w:szCs w:val="24"/>
        </w:rPr>
        <w:t>Magic</w:t>
      </w:r>
      <w:proofErr w:type="spellEnd"/>
      <w:r w:rsidRPr="00966F5D">
        <w:rPr>
          <w:rFonts w:ascii="Times New Roman" w:hAnsi="Times New Roman" w:cs="Times New Roman"/>
          <w:sz w:val="24"/>
          <w:szCs w:val="24"/>
        </w:rPr>
        <w:t xml:space="preserve"> </w:t>
      </w:r>
      <w:proofErr w:type="spellStart"/>
      <w:r w:rsidRPr="00966F5D">
        <w:rPr>
          <w:rFonts w:ascii="Times New Roman" w:hAnsi="Times New Roman" w:cs="Times New Roman"/>
          <w:sz w:val="24"/>
          <w:szCs w:val="24"/>
        </w:rPr>
        <w:t>the</w:t>
      </w:r>
      <w:proofErr w:type="spellEnd"/>
      <w:r w:rsidRPr="00966F5D">
        <w:rPr>
          <w:rFonts w:ascii="Times New Roman" w:hAnsi="Times New Roman" w:cs="Times New Roman"/>
          <w:sz w:val="24"/>
          <w:szCs w:val="24"/>
        </w:rPr>
        <w:t xml:space="preserve"> </w:t>
      </w:r>
      <w:proofErr w:type="spellStart"/>
      <w:r w:rsidRPr="00966F5D">
        <w:rPr>
          <w:rFonts w:ascii="Times New Roman" w:hAnsi="Times New Roman" w:cs="Times New Roman"/>
          <w:sz w:val="24"/>
          <w:szCs w:val="24"/>
        </w:rPr>
        <w:t>Gathering</w:t>
      </w:r>
      <w:proofErr w:type="spellEnd"/>
      <w:r w:rsidRPr="00966F5D">
        <w:rPr>
          <w:rFonts w:ascii="Times New Roman" w:hAnsi="Times New Roman" w:cs="Times New Roman"/>
          <w:sz w:val="24"/>
          <w:szCs w:val="24"/>
        </w:rPr>
        <w:t xml:space="preserve">, </w:t>
      </w:r>
      <w:proofErr w:type="spellStart"/>
      <w:r w:rsidRPr="00966F5D">
        <w:rPr>
          <w:rFonts w:ascii="Times New Roman" w:hAnsi="Times New Roman" w:cs="Times New Roman"/>
          <w:sz w:val="24"/>
          <w:szCs w:val="24"/>
        </w:rPr>
        <w:t>Munchkin</w:t>
      </w:r>
      <w:proofErr w:type="spellEnd"/>
      <w:r w:rsidRPr="00966F5D">
        <w:rPr>
          <w:rFonts w:ascii="Times New Roman" w:hAnsi="Times New Roman" w:cs="Times New Roman"/>
          <w:sz w:val="24"/>
          <w:szCs w:val="24"/>
        </w:rPr>
        <w:t xml:space="preserve"> y La Leyenda de los cinco anillos.</w:t>
      </w:r>
    </w:p>
    <w:p w:rsidR="008F5A5A" w:rsidRPr="00966F5D" w:rsidRDefault="008F5A5A"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u w:val="single"/>
        </w:rPr>
        <w:lastRenderedPageBreak/>
        <w:t>Juegos Cooperativos</w:t>
      </w:r>
      <w:r w:rsidRPr="00966F5D">
        <w:rPr>
          <w:rFonts w:ascii="Times New Roman" w:hAnsi="Times New Roman" w:cs="Times New Roman"/>
          <w:sz w:val="24"/>
          <w:szCs w:val="24"/>
        </w:rPr>
        <w:t xml:space="preserve"> son aquellos en donde la situación que plantea el juego requiere que dos o más jugadores tengan intereses u objetivos que no son totalmente opuestos ni totalmente complementarios. Este tipo de juegos no asegura que todos los jugadores se beneficien de igual manera. De igual manera estos juegos incluyen mecanismos de negociación. Colaborar unos con otros ayuda, siempre y cuando sea en condiciones ventajosas (Zagal et al, 2006). Ejemplos de estos juegos serían los Colonos de Catan y </w:t>
      </w:r>
      <w:proofErr w:type="spellStart"/>
      <w:r w:rsidRPr="00966F5D">
        <w:rPr>
          <w:rFonts w:ascii="Times New Roman" w:hAnsi="Times New Roman" w:cs="Times New Roman"/>
          <w:sz w:val="24"/>
          <w:szCs w:val="24"/>
        </w:rPr>
        <w:t>Clue</w:t>
      </w:r>
      <w:proofErr w:type="spellEnd"/>
      <w:r w:rsidRPr="00966F5D">
        <w:rPr>
          <w:rFonts w:ascii="Times New Roman" w:hAnsi="Times New Roman" w:cs="Times New Roman"/>
          <w:sz w:val="24"/>
          <w:szCs w:val="24"/>
        </w:rPr>
        <w:t>.</w:t>
      </w:r>
    </w:p>
    <w:p w:rsidR="008F5A5A" w:rsidRPr="00966F5D" w:rsidRDefault="008F5A5A"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u w:val="single"/>
        </w:rPr>
        <w:t>Juegos Colaborativos</w:t>
      </w:r>
      <w:r w:rsidRPr="00966F5D">
        <w:rPr>
          <w:rFonts w:ascii="Times New Roman" w:hAnsi="Times New Roman" w:cs="Times New Roman"/>
          <w:sz w:val="24"/>
          <w:szCs w:val="24"/>
        </w:rPr>
        <w:t xml:space="preserve"> son aquellos donde todos los jugadores trabajan en equipo contra el tablero (las mecánicas del juego generan un rival virtual o villano que actúa en función del azar o como consecuencia de las acciones de los jugadores). La idea de estos juegos es que si un jugador pierde, todos pierden y por tanto requieren una estrategia coordinada para ganar (Zagal et al, 2006). Ejemplos de estos juegos serían La Sombra de </w:t>
      </w:r>
      <w:proofErr w:type="spellStart"/>
      <w:r w:rsidRPr="00966F5D">
        <w:rPr>
          <w:rFonts w:ascii="Times New Roman" w:hAnsi="Times New Roman" w:cs="Times New Roman"/>
          <w:sz w:val="24"/>
          <w:szCs w:val="24"/>
        </w:rPr>
        <w:t>Cthulhu</w:t>
      </w:r>
      <w:proofErr w:type="spellEnd"/>
      <w:r w:rsidRPr="00966F5D">
        <w:rPr>
          <w:rFonts w:ascii="Times New Roman" w:hAnsi="Times New Roman" w:cs="Times New Roman"/>
          <w:sz w:val="24"/>
          <w:szCs w:val="24"/>
        </w:rPr>
        <w:t xml:space="preserve">, El Señor de los anillos y  La Furia de Drácula. </w:t>
      </w:r>
    </w:p>
    <w:p w:rsidR="008F5A5A" w:rsidRPr="00966F5D" w:rsidRDefault="008F5A5A" w:rsidP="00966F5D">
      <w:pPr>
        <w:spacing w:line="360" w:lineRule="auto"/>
        <w:contextualSpacing/>
        <w:jc w:val="both"/>
        <w:rPr>
          <w:rFonts w:ascii="Times New Roman" w:hAnsi="Times New Roman" w:cs="Times New Roman"/>
          <w:sz w:val="24"/>
          <w:szCs w:val="24"/>
        </w:rPr>
      </w:pPr>
    </w:p>
    <w:p w:rsidR="002C55FE" w:rsidRPr="00966F5D" w:rsidRDefault="002C55FE"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Los juegos tienen que lograr alcanzar la mezcla adecuada entre el estudio y la diversión. Mientras más entretenido es el juego, mayor será el grado de absorción del conocimiento, al vencer las barreras naturales del aprendizaje. Un juego solo enfocado en la parte académica puede llegar a parecer muy aburrido. Un juego enfocado solo en la diversión puede distraer al usuario del mensaje. Es por ello que es necesario buscar métodos nuevos y más atractivos para </w:t>
      </w:r>
      <w:r w:rsidR="00F80EA1" w:rsidRPr="00966F5D">
        <w:rPr>
          <w:rFonts w:ascii="Times New Roman" w:hAnsi="Times New Roman" w:cs="Times New Roman"/>
          <w:sz w:val="24"/>
          <w:szCs w:val="24"/>
        </w:rPr>
        <w:t xml:space="preserve">plantear juegos que sirvan a </w:t>
      </w:r>
      <w:r w:rsidRPr="00966F5D">
        <w:rPr>
          <w:rFonts w:ascii="Times New Roman" w:hAnsi="Times New Roman" w:cs="Times New Roman"/>
          <w:sz w:val="24"/>
          <w:szCs w:val="24"/>
        </w:rPr>
        <w:t>los estudiantes para llevar a cabo la transferencia de conocimientos necesaria, evitando las barreras usuales y promoviendo el pensamiento lateral. Es aquí donde el aprendizaje basado en juegos ayuda a la transferencia de conocimiento.</w:t>
      </w: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p>
    <w:p w:rsidR="002C55FE" w:rsidRPr="00966F5D" w:rsidRDefault="004F16E5" w:rsidP="00966F5D">
      <w:pPr>
        <w:spacing w:before="120" w:after="120" w:line="360" w:lineRule="auto"/>
        <w:contextualSpacing/>
        <w:mirrorIndents/>
        <w:jc w:val="both"/>
        <w:rPr>
          <w:rFonts w:ascii="Times New Roman" w:hAnsi="Times New Roman" w:cs="Times New Roman"/>
          <w:b/>
          <w:sz w:val="24"/>
          <w:szCs w:val="24"/>
        </w:rPr>
      </w:pPr>
      <w:r w:rsidRPr="00966F5D">
        <w:rPr>
          <w:rFonts w:ascii="Times New Roman" w:hAnsi="Times New Roman" w:cs="Times New Roman"/>
          <w:b/>
          <w:sz w:val="24"/>
          <w:szCs w:val="24"/>
        </w:rPr>
        <w:t>4</w:t>
      </w:r>
      <w:r w:rsidR="00F80EA1" w:rsidRPr="00966F5D">
        <w:rPr>
          <w:rFonts w:ascii="Times New Roman" w:hAnsi="Times New Roman" w:cs="Times New Roman"/>
          <w:b/>
          <w:sz w:val="24"/>
          <w:szCs w:val="24"/>
        </w:rPr>
        <w:t>.</w:t>
      </w:r>
      <w:r w:rsidR="002C55FE" w:rsidRPr="00966F5D">
        <w:rPr>
          <w:rFonts w:ascii="Times New Roman" w:hAnsi="Times New Roman" w:cs="Times New Roman"/>
          <w:b/>
          <w:sz w:val="24"/>
          <w:szCs w:val="24"/>
        </w:rPr>
        <w:t xml:space="preserve"> Transferencia de conocimiento y aprendizaje basado en juegos</w:t>
      </w: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proofErr w:type="spellStart"/>
      <w:r w:rsidRPr="00966F5D">
        <w:rPr>
          <w:rFonts w:ascii="Times New Roman" w:hAnsi="Times New Roman" w:cs="Times New Roman"/>
          <w:sz w:val="24"/>
          <w:szCs w:val="24"/>
        </w:rPr>
        <w:t>Major</w:t>
      </w:r>
      <w:proofErr w:type="spellEnd"/>
      <w:r w:rsidRPr="00966F5D">
        <w:rPr>
          <w:rFonts w:ascii="Times New Roman" w:hAnsi="Times New Roman" w:cs="Times New Roman"/>
          <w:sz w:val="24"/>
          <w:szCs w:val="24"/>
        </w:rPr>
        <w:t xml:space="preserve"> and </w:t>
      </w:r>
      <w:proofErr w:type="spellStart"/>
      <w:r w:rsidRPr="00966F5D">
        <w:rPr>
          <w:rFonts w:ascii="Times New Roman" w:hAnsi="Times New Roman" w:cs="Times New Roman"/>
          <w:sz w:val="24"/>
          <w:szCs w:val="24"/>
        </w:rPr>
        <w:t>Cordey</w:t>
      </w:r>
      <w:proofErr w:type="spellEnd"/>
      <w:r w:rsidRPr="00966F5D">
        <w:rPr>
          <w:rFonts w:ascii="Times New Roman" w:hAnsi="Times New Roman" w:cs="Times New Roman"/>
          <w:sz w:val="24"/>
          <w:szCs w:val="24"/>
        </w:rPr>
        <w:t>-Hayes (2000) definen la transferencia de conocimiento como el proceso de trasladar una serie de datos, procedimientos e instrucciones de un generador que desarrollo dicho conocimiento de un inicio a un receptor que lo pondrá en práctica. Esto se debe hacer de manera sencilla y contextualizada.</w:t>
      </w: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r w:rsidRPr="00966F5D">
        <w:rPr>
          <w:rFonts w:ascii="Times New Roman" w:hAnsi="Times New Roman" w:cs="Times New Roman"/>
          <w:sz w:val="24"/>
          <w:szCs w:val="24"/>
        </w:rPr>
        <w:lastRenderedPageBreak/>
        <w:t>Los juegos, en particular los de mesa, pueden ser usados como una solución a la trasferencia de conocimiento, ya que ellos codifican, contextualizan, traducen y enseñan una serie de datos de una manera activa y atractiva, que permite una rápida implementación en un ambiente libre de riesgos y que fomenta la experimentación y el pensamiento lateral.</w:t>
      </w: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r w:rsidRPr="00966F5D">
        <w:rPr>
          <w:rFonts w:ascii="Times New Roman" w:hAnsi="Times New Roman" w:cs="Times New Roman"/>
          <w:sz w:val="24"/>
          <w:szCs w:val="24"/>
        </w:rPr>
        <w:t xml:space="preserve">El aprendizaje basado en juegos se apoya en la tendencia que presentan los estudiantes a generar patrones, deducir información y generar y modificar estrategias basados en nuevas experiencia. La interacción que promueven estos juegos promueven un ambiente de discusión que puede favorecer la enseñanza de la </w:t>
      </w:r>
      <w:r w:rsidR="00556170">
        <w:rPr>
          <w:rFonts w:ascii="Times New Roman" w:hAnsi="Times New Roman" w:cs="Times New Roman"/>
          <w:sz w:val="24"/>
          <w:szCs w:val="24"/>
        </w:rPr>
        <w:t>sustentabilidad</w:t>
      </w:r>
      <w:r w:rsidRPr="00966F5D">
        <w:rPr>
          <w:rFonts w:ascii="Times New Roman" w:hAnsi="Times New Roman" w:cs="Times New Roman"/>
          <w:sz w:val="24"/>
          <w:szCs w:val="24"/>
        </w:rPr>
        <w:t xml:space="preserve"> y su aplicación a proyectos de diseño (</w:t>
      </w:r>
      <w:proofErr w:type="spellStart"/>
      <w:r w:rsidRPr="00966F5D">
        <w:rPr>
          <w:rFonts w:ascii="Times New Roman" w:hAnsi="Times New Roman" w:cs="Times New Roman"/>
          <w:sz w:val="24"/>
          <w:szCs w:val="24"/>
        </w:rPr>
        <w:t>Treher</w:t>
      </w:r>
      <w:proofErr w:type="spellEnd"/>
      <w:r w:rsidRPr="00966F5D">
        <w:rPr>
          <w:rFonts w:ascii="Times New Roman" w:hAnsi="Times New Roman" w:cs="Times New Roman"/>
          <w:sz w:val="24"/>
          <w:szCs w:val="24"/>
        </w:rPr>
        <w:t>, 2011).</w:t>
      </w:r>
      <w:r w:rsidR="008F5A5A" w:rsidRPr="00966F5D">
        <w:rPr>
          <w:rFonts w:ascii="Times New Roman" w:hAnsi="Times New Roman" w:cs="Times New Roman"/>
          <w:sz w:val="24"/>
          <w:szCs w:val="24"/>
        </w:rPr>
        <w:t xml:space="preserve"> </w:t>
      </w:r>
      <w:r w:rsidRPr="00966F5D">
        <w:rPr>
          <w:rFonts w:ascii="Times New Roman" w:hAnsi="Times New Roman" w:cs="Times New Roman"/>
          <w:sz w:val="24"/>
          <w:szCs w:val="24"/>
        </w:rPr>
        <w:t xml:space="preserve">Autores como Gilbert </w:t>
      </w:r>
      <w:proofErr w:type="spellStart"/>
      <w:r w:rsidRPr="00966F5D">
        <w:rPr>
          <w:rFonts w:ascii="Times New Roman" w:hAnsi="Times New Roman" w:cs="Times New Roman"/>
          <w:sz w:val="24"/>
          <w:szCs w:val="24"/>
        </w:rPr>
        <w:t>Ahamer</w:t>
      </w:r>
      <w:proofErr w:type="spellEnd"/>
      <w:r w:rsidRPr="00966F5D">
        <w:rPr>
          <w:rFonts w:ascii="Times New Roman" w:hAnsi="Times New Roman" w:cs="Times New Roman"/>
          <w:sz w:val="24"/>
          <w:szCs w:val="24"/>
        </w:rPr>
        <w:t xml:space="preserve"> (2006) argumentan a favor del uso de juegos como herramienta educativa para promover un aprendizaje teórico-práctico, ligado a experiencias de la vida diaria</w:t>
      </w: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p>
    <w:p w:rsidR="002C55FE" w:rsidRPr="00966F5D" w:rsidRDefault="002C55FE" w:rsidP="00966F5D">
      <w:pPr>
        <w:spacing w:before="120" w:after="120" w:line="360" w:lineRule="auto"/>
        <w:contextualSpacing/>
        <w:mirrorIndents/>
        <w:jc w:val="both"/>
        <w:rPr>
          <w:rFonts w:ascii="Times New Roman" w:hAnsi="Times New Roman" w:cs="Times New Roman"/>
          <w:sz w:val="24"/>
          <w:szCs w:val="24"/>
        </w:rPr>
      </w:pPr>
      <w:r w:rsidRPr="00966F5D">
        <w:rPr>
          <w:rFonts w:ascii="Times New Roman" w:hAnsi="Times New Roman" w:cs="Times New Roman"/>
          <w:sz w:val="24"/>
          <w:szCs w:val="24"/>
        </w:rPr>
        <w:t>Las personas usan juegos de mesa como entretenimiento por el reto que representa la resolución de problemas, porque es una forma sencilla de divertirse, por la posibilidad de generar e imaginar nuevas experiencias y por la experiencia social que estos promueven (</w:t>
      </w:r>
      <w:proofErr w:type="spellStart"/>
      <w:r w:rsidRPr="00966F5D">
        <w:rPr>
          <w:rFonts w:ascii="Times New Roman" w:hAnsi="Times New Roman" w:cs="Times New Roman"/>
          <w:sz w:val="24"/>
          <w:szCs w:val="24"/>
        </w:rPr>
        <w:t>Lazzaro</w:t>
      </w:r>
      <w:proofErr w:type="spellEnd"/>
      <w:r w:rsidRPr="00966F5D">
        <w:rPr>
          <w:rFonts w:ascii="Times New Roman" w:hAnsi="Times New Roman" w:cs="Times New Roman"/>
          <w:sz w:val="24"/>
          <w:szCs w:val="24"/>
        </w:rPr>
        <w:t xml:space="preserve">, 2004). Basado en esto, es posible argumentar que los juegos de mesa pueden ser usados para la enseñanza de </w:t>
      </w:r>
      <w:r w:rsidR="00556170">
        <w:rPr>
          <w:rFonts w:ascii="Times New Roman" w:hAnsi="Times New Roman" w:cs="Times New Roman"/>
          <w:sz w:val="24"/>
          <w:szCs w:val="24"/>
        </w:rPr>
        <w:t>sustentabilidad</w:t>
      </w:r>
      <w:r w:rsidRPr="00966F5D">
        <w:rPr>
          <w:rFonts w:ascii="Times New Roman" w:hAnsi="Times New Roman" w:cs="Times New Roman"/>
          <w:sz w:val="24"/>
          <w:szCs w:val="24"/>
        </w:rPr>
        <w:t xml:space="preserve"> a los estudiantes de diseño, dado que su perfil considera que son personas que gustan de solucionar problemas, hacer experimentos y compartir diversos puntos de vista, características necesarias para aplicar la </w:t>
      </w:r>
      <w:r w:rsidR="00556170">
        <w:rPr>
          <w:rFonts w:ascii="Times New Roman" w:hAnsi="Times New Roman" w:cs="Times New Roman"/>
          <w:sz w:val="24"/>
          <w:szCs w:val="24"/>
        </w:rPr>
        <w:t>sustentabilidad</w:t>
      </w:r>
      <w:r w:rsidRPr="00966F5D">
        <w:rPr>
          <w:rFonts w:ascii="Times New Roman" w:hAnsi="Times New Roman" w:cs="Times New Roman"/>
          <w:sz w:val="24"/>
          <w:szCs w:val="24"/>
        </w:rPr>
        <w:t>.</w:t>
      </w:r>
    </w:p>
    <w:p w:rsidR="0037477F" w:rsidRPr="00966F5D" w:rsidRDefault="0037477F" w:rsidP="00966F5D">
      <w:pPr>
        <w:spacing w:before="120" w:after="120" w:line="360" w:lineRule="auto"/>
        <w:contextualSpacing/>
        <w:mirrorIndents/>
        <w:jc w:val="both"/>
        <w:rPr>
          <w:rFonts w:ascii="Times New Roman" w:hAnsi="Times New Roman" w:cs="Times New Roman"/>
          <w:sz w:val="24"/>
          <w:szCs w:val="24"/>
        </w:rPr>
      </w:pPr>
    </w:p>
    <w:p w:rsidR="0037477F" w:rsidRPr="008B0949" w:rsidRDefault="0037477F" w:rsidP="00F979F3">
      <w:pPr>
        <w:pStyle w:val="Prrafodelista"/>
        <w:numPr>
          <w:ilvl w:val="0"/>
          <w:numId w:val="1"/>
        </w:numPr>
        <w:contextualSpacing/>
        <w:jc w:val="center"/>
        <w:rPr>
          <w:szCs w:val="24"/>
          <w:lang w:val="es-MX"/>
        </w:rPr>
      </w:pPr>
      <w:r w:rsidRPr="00C72F6B">
        <w:rPr>
          <w:i/>
          <w:szCs w:val="24"/>
          <w:lang w:val="es-MX"/>
        </w:rPr>
        <w:lastRenderedPageBreak/>
        <w:t xml:space="preserve">Transferencia de </w:t>
      </w:r>
      <w:proofErr w:type="spellStart"/>
      <w:r w:rsidRPr="00C72F6B">
        <w:rPr>
          <w:i/>
          <w:szCs w:val="24"/>
          <w:lang w:val="es-MX"/>
        </w:rPr>
        <w:t>conociminento</w:t>
      </w:r>
      <w:proofErr w:type="spellEnd"/>
      <w:r w:rsidRPr="00C72F6B">
        <w:rPr>
          <w:i/>
          <w:szCs w:val="24"/>
          <w:lang w:val="es-MX"/>
        </w:rPr>
        <w:t xml:space="preserve"> de </w:t>
      </w:r>
      <w:proofErr w:type="spellStart"/>
      <w:r w:rsidRPr="00C72F6B">
        <w:rPr>
          <w:i/>
          <w:szCs w:val="24"/>
          <w:lang w:val="es-MX"/>
        </w:rPr>
        <w:t>Major</w:t>
      </w:r>
      <w:proofErr w:type="spellEnd"/>
      <w:r w:rsidRPr="00C72F6B">
        <w:rPr>
          <w:i/>
          <w:szCs w:val="24"/>
          <w:lang w:val="es-MX"/>
        </w:rPr>
        <w:t xml:space="preserve"> y </w:t>
      </w:r>
      <w:proofErr w:type="spellStart"/>
      <w:r w:rsidRPr="00C72F6B">
        <w:rPr>
          <w:i/>
          <w:szCs w:val="24"/>
          <w:lang w:val="es-MX"/>
        </w:rPr>
        <w:t>Cordey</w:t>
      </w:r>
      <w:proofErr w:type="spellEnd"/>
      <w:r w:rsidRPr="00C72F6B">
        <w:rPr>
          <w:i/>
          <w:szCs w:val="24"/>
          <w:lang w:val="es-MX"/>
        </w:rPr>
        <w:t>-Hayes.</w:t>
      </w:r>
      <w:r w:rsidRPr="008B0949">
        <w:rPr>
          <w:szCs w:val="24"/>
          <w:lang w:val="es-MX"/>
        </w:rPr>
        <w:br/>
      </w:r>
      <w:r w:rsidRPr="008B0949">
        <w:rPr>
          <w:szCs w:val="24"/>
          <w:lang w:val="es-MX"/>
        </w:rPr>
        <w:br/>
      </w:r>
      <w:r w:rsidR="00966F5D">
        <w:rPr>
          <w:noProof/>
          <w:szCs w:val="24"/>
          <w:lang w:val="es-MX" w:eastAsia="es-MX"/>
        </w:rPr>
        <w:drawing>
          <wp:inline distT="0" distB="0" distL="0" distR="0">
            <wp:extent cx="4705230" cy="337513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elo hayes.png"/>
                    <pic:cNvPicPr/>
                  </pic:nvPicPr>
                  <pic:blipFill>
                    <a:blip r:embed="rId11">
                      <a:extLst>
                        <a:ext uri="{28A0092B-C50C-407E-A947-70E740481C1C}">
                          <a14:useLocalDpi xmlns:a14="http://schemas.microsoft.com/office/drawing/2010/main" val="0"/>
                        </a:ext>
                      </a:extLst>
                    </a:blip>
                    <a:stretch>
                      <a:fillRect/>
                    </a:stretch>
                  </pic:blipFill>
                  <pic:spPr>
                    <a:xfrm>
                      <a:off x="0" y="0"/>
                      <a:ext cx="4705230" cy="3375130"/>
                    </a:xfrm>
                    <a:prstGeom prst="rect">
                      <a:avLst/>
                    </a:prstGeom>
                  </pic:spPr>
                </pic:pic>
              </a:graphicData>
            </a:graphic>
          </wp:inline>
        </w:drawing>
      </w:r>
    </w:p>
    <w:p w:rsidR="0037477F" w:rsidRPr="00966F5D" w:rsidRDefault="0037477F" w:rsidP="00966F5D">
      <w:pPr>
        <w:pStyle w:val="Epgrafe"/>
        <w:spacing w:line="360" w:lineRule="auto"/>
        <w:contextualSpacing/>
        <w:jc w:val="center"/>
        <w:rPr>
          <w:b w:val="0"/>
          <w:sz w:val="24"/>
          <w:szCs w:val="24"/>
          <w:lang w:val="es-MX"/>
        </w:rPr>
      </w:pPr>
      <w:bookmarkStart w:id="0" w:name="_Ref200531253"/>
      <w:bookmarkStart w:id="1" w:name="_Toc337579690"/>
      <w:bookmarkStart w:id="2" w:name="_Toc215297347"/>
      <w:bookmarkStart w:id="3" w:name="_Toc206753835"/>
      <w:bookmarkStart w:id="4" w:name="_Toc206753385"/>
      <w:r w:rsidRPr="00966F5D">
        <w:rPr>
          <w:b w:val="0"/>
          <w:sz w:val="24"/>
          <w:szCs w:val="24"/>
          <w:lang w:val="es-MX"/>
        </w:rPr>
        <w:t xml:space="preserve">Figura </w:t>
      </w:r>
      <w:bookmarkEnd w:id="0"/>
      <w:r w:rsidRPr="00966F5D">
        <w:rPr>
          <w:b w:val="0"/>
          <w:sz w:val="24"/>
          <w:szCs w:val="24"/>
          <w:lang w:val="es-MX"/>
        </w:rPr>
        <w:t xml:space="preserve">1: Modelo de Transferencia de Conocimiento </w:t>
      </w:r>
      <w:r w:rsidRPr="00966F5D">
        <w:rPr>
          <w:b w:val="0"/>
          <w:sz w:val="24"/>
          <w:szCs w:val="24"/>
          <w:lang w:val="en-GB"/>
        </w:rPr>
        <w:fldChar w:fldCharType="begin"/>
      </w:r>
      <w:r w:rsidRPr="00966F5D">
        <w:rPr>
          <w:b w:val="0"/>
          <w:sz w:val="24"/>
          <w:szCs w:val="24"/>
          <w:lang w:val="es-MX"/>
        </w:rPr>
        <w:instrText xml:space="preserve"> ADDIN EN.CITE &lt;EndNote&gt;&lt;Cite&gt;&lt;Author&gt;Major&lt;/Author&gt;&lt;Year&gt;2000&lt;/Year&gt;&lt;RecNum&gt;66&lt;/RecNum&gt;&lt;record&gt;&lt;source-app name="EndNote" version="13.0"&gt;EndNote&lt;/source-app&gt;&lt;rec-number&gt;66&lt;/rec-number&gt;&lt;ref-type name="Journal Article"&gt;17&lt;/ref-type&gt;&lt;contributors&gt;&lt;authors&gt;&lt;author&gt;&lt;style face="normal" font="default" size="100%"&gt;Edwin Major&lt;/style&gt;&lt;/author&gt;&lt;author&gt;&lt;style face="normal" font="default" size="100%"&gt;Martyn Cordey-Hayes&lt;/style&gt;&lt;/author&gt;&lt;/authors&gt;&lt;/contributors&gt;&lt;titles&gt;&lt;title&gt;&lt;style face="normal" font="default" size="100%"&gt;Knowledge translation: A new perspective on knowledge transfer and foresight&lt;/style&gt;&lt;/title&gt;&lt;secondary-title&gt;&lt;style face="normal" font="default" size="100%"&gt;Foresight. The Journal of Futures Studies, Strategic Thinking and Policy&lt;/style&gt;&lt;/secondary-title&gt;&lt;/titles&gt;&lt;pages&gt;&lt;style face="normal" font="default" size="100%"&gt;411-423&lt;/style&gt;&lt;/pages&gt;&lt;volume&gt;&lt;style face="normal" font="default" size="100%"&gt;2&lt;/style&gt;&lt;/volume&gt;&lt;number&gt;&lt;style face="normal" font="default" size="100%"&gt;4&lt;/style&gt;&lt;/number&gt;&lt;dates&gt;&lt;year&gt;&lt;style face="normal" font="default" size="100%"&gt;2000&lt;/style&gt;&lt;/year&gt;&lt;/dates&gt;&lt;urls&gt;&lt;/urls&gt;&lt;/record&gt;&lt;/Cite&gt;&lt;/EndNote&gt;</w:instrText>
      </w:r>
      <w:r w:rsidRPr="00966F5D">
        <w:rPr>
          <w:b w:val="0"/>
          <w:sz w:val="24"/>
          <w:szCs w:val="24"/>
          <w:lang w:val="en-GB"/>
        </w:rPr>
        <w:fldChar w:fldCharType="separate"/>
      </w:r>
      <w:bookmarkEnd w:id="2"/>
      <w:bookmarkEnd w:id="3"/>
      <w:bookmarkEnd w:id="4"/>
      <w:r w:rsidRPr="00966F5D">
        <w:rPr>
          <w:b w:val="0"/>
          <w:noProof/>
          <w:sz w:val="24"/>
          <w:szCs w:val="24"/>
          <w:lang w:val="es-MX"/>
        </w:rPr>
        <w:t>(Major and Cordey-Hayes 2000)</w:t>
      </w:r>
      <w:bookmarkEnd w:id="1"/>
      <w:r w:rsidRPr="00966F5D">
        <w:rPr>
          <w:b w:val="0"/>
          <w:sz w:val="24"/>
          <w:szCs w:val="24"/>
          <w:lang w:val="en-GB"/>
        </w:rPr>
        <w:fldChar w:fldCharType="end"/>
      </w:r>
    </w:p>
    <w:p w:rsidR="0037477F" w:rsidRPr="00966F5D" w:rsidRDefault="0037477F" w:rsidP="00966F5D">
      <w:pPr>
        <w:pStyle w:val="Prrafodelista"/>
        <w:ind w:left="0"/>
        <w:contextualSpacing/>
        <w:jc w:val="both"/>
        <w:rPr>
          <w:noProof/>
          <w:szCs w:val="24"/>
          <w:lang w:val="es-MX" w:eastAsia="es-MX"/>
        </w:rPr>
      </w:pPr>
    </w:p>
    <w:p w:rsidR="0037477F" w:rsidRPr="00966F5D" w:rsidRDefault="0037477F" w:rsidP="00966F5D">
      <w:pPr>
        <w:spacing w:line="360" w:lineRule="auto"/>
        <w:contextualSpacing/>
        <w:jc w:val="both"/>
        <w:rPr>
          <w:rFonts w:ascii="Times New Roman" w:hAnsi="Times New Roman" w:cs="Times New Roman"/>
          <w:sz w:val="24"/>
          <w:szCs w:val="24"/>
        </w:rPr>
      </w:pPr>
      <w:r w:rsidRPr="00966F5D">
        <w:rPr>
          <w:rFonts w:ascii="Times New Roman" w:hAnsi="Times New Roman" w:cs="Times New Roman"/>
          <w:sz w:val="24"/>
          <w:szCs w:val="24"/>
        </w:rPr>
        <w:t xml:space="preserve">El proceso básico de este proceso consiste en la recolección de datos, su ‘traducción’ a través de una </w:t>
      </w:r>
      <w:proofErr w:type="spellStart"/>
      <w:r w:rsidRPr="00966F5D">
        <w:rPr>
          <w:rFonts w:ascii="Times New Roman" w:hAnsi="Times New Roman" w:cs="Times New Roman"/>
          <w:sz w:val="24"/>
          <w:szCs w:val="24"/>
        </w:rPr>
        <w:t>recontextualización</w:t>
      </w:r>
      <w:proofErr w:type="spellEnd"/>
      <w:r w:rsidRPr="00966F5D">
        <w:rPr>
          <w:rFonts w:ascii="Times New Roman" w:hAnsi="Times New Roman" w:cs="Times New Roman"/>
          <w:sz w:val="24"/>
          <w:szCs w:val="24"/>
        </w:rPr>
        <w:t xml:space="preserve">, una codificación y una aplicación. Se eligió este modelo, pues encaja perfectamente con la definición de juegos de mesa ofrecida por </w:t>
      </w:r>
      <w:proofErr w:type="spellStart"/>
      <w:r w:rsidRPr="00966F5D">
        <w:rPr>
          <w:rFonts w:ascii="Times New Roman" w:hAnsi="Times New Roman" w:cs="Times New Roman"/>
          <w:sz w:val="24"/>
          <w:szCs w:val="24"/>
        </w:rPr>
        <w:t>Daviau</w:t>
      </w:r>
      <w:proofErr w:type="spellEnd"/>
      <w:r w:rsidRPr="00966F5D">
        <w:rPr>
          <w:rFonts w:ascii="Times New Roman" w:hAnsi="Times New Roman" w:cs="Times New Roman"/>
          <w:sz w:val="24"/>
          <w:szCs w:val="24"/>
        </w:rPr>
        <w:t xml:space="preserve"> (2011) que los define como “un sistema interactivo matemático, hecho de manera concreta para contar una historia”. En este caso, la historia es el tema de la </w:t>
      </w:r>
      <w:r w:rsidR="00556170">
        <w:rPr>
          <w:rFonts w:ascii="Times New Roman" w:hAnsi="Times New Roman" w:cs="Times New Roman"/>
          <w:sz w:val="24"/>
          <w:szCs w:val="24"/>
        </w:rPr>
        <w:t>sustentabilidad</w:t>
      </w:r>
      <w:r w:rsidRPr="00966F5D">
        <w:rPr>
          <w:rFonts w:ascii="Times New Roman" w:hAnsi="Times New Roman" w:cs="Times New Roman"/>
          <w:sz w:val="24"/>
          <w:szCs w:val="24"/>
        </w:rPr>
        <w:t xml:space="preserve"> y algunos de sus conceptos básicos, que será explicada a través de una serie de mecánicas, reglas y componentes, generando un marco de trabajo más amplio para los usuarios, en este caso, los jugadores.</w:t>
      </w:r>
    </w:p>
    <w:p w:rsidR="0037477F" w:rsidRPr="00966F5D" w:rsidRDefault="0037477F" w:rsidP="00966F5D">
      <w:pPr>
        <w:pStyle w:val="Prrafodelista"/>
        <w:ind w:left="0"/>
        <w:contextualSpacing/>
        <w:jc w:val="both"/>
        <w:rPr>
          <w:noProof/>
          <w:szCs w:val="24"/>
          <w:lang w:val="es-MX" w:eastAsia="es-MX"/>
        </w:rPr>
      </w:pPr>
    </w:p>
    <w:p w:rsidR="0037477F" w:rsidRPr="00966F5D" w:rsidRDefault="0037477F" w:rsidP="00966F5D">
      <w:pPr>
        <w:pStyle w:val="Prrafodelista"/>
        <w:numPr>
          <w:ilvl w:val="0"/>
          <w:numId w:val="2"/>
        </w:numPr>
        <w:spacing w:before="120" w:after="120"/>
        <w:contextualSpacing/>
        <w:mirrorIndents/>
        <w:jc w:val="both"/>
        <w:rPr>
          <w:i/>
          <w:noProof/>
          <w:szCs w:val="24"/>
          <w:lang w:val="en-US" w:eastAsia="es-MX"/>
        </w:rPr>
      </w:pPr>
      <w:r w:rsidRPr="00966F5D">
        <w:rPr>
          <w:i/>
          <w:noProof/>
          <w:szCs w:val="24"/>
          <w:lang w:val="en-US" w:eastAsia="es-MX"/>
        </w:rPr>
        <w:t>Modelo G</w:t>
      </w:r>
      <w:r w:rsidR="00C46707" w:rsidRPr="00966F5D">
        <w:rPr>
          <w:i/>
          <w:noProof/>
          <w:szCs w:val="24"/>
          <w:lang w:val="en-US" w:eastAsia="es-MX"/>
        </w:rPr>
        <w:t>I</w:t>
      </w:r>
      <w:r w:rsidRPr="00966F5D">
        <w:rPr>
          <w:i/>
          <w:noProof/>
          <w:szCs w:val="24"/>
          <w:lang w:val="en-US" w:eastAsia="es-MX"/>
        </w:rPr>
        <w:t xml:space="preserve">IL (Game Involvement and Informal Learning Framework) de </w:t>
      </w:r>
      <w:proofErr w:type="spellStart"/>
      <w:r w:rsidRPr="00966F5D">
        <w:rPr>
          <w:i/>
          <w:iCs/>
          <w:szCs w:val="24"/>
          <w:lang w:val="en-US"/>
        </w:rPr>
        <w:t>Iacovides</w:t>
      </w:r>
      <w:proofErr w:type="spellEnd"/>
      <w:r w:rsidRPr="00966F5D">
        <w:rPr>
          <w:i/>
          <w:iCs/>
          <w:szCs w:val="24"/>
          <w:lang w:val="en-US"/>
        </w:rPr>
        <w:t xml:space="preserve">, </w:t>
      </w:r>
      <w:proofErr w:type="gramStart"/>
      <w:r w:rsidRPr="00966F5D">
        <w:rPr>
          <w:i/>
          <w:iCs/>
          <w:szCs w:val="24"/>
          <w:lang w:val="en-US"/>
        </w:rPr>
        <w:t>et</w:t>
      </w:r>
      <w:proofErr w:type="gramEnd"/>
      <w:r w:rsidRPr="00966F5D">
        <w:rPr>
          <w:i/>
          <w:iCs/>
          <w:szCs w:val="24"/>
          <w:lang w:val="en-US"/>
        </w:rPr>
        <w:t>. Al.</w:t>
      </w:r>
    </w:p>
    <w:p w:rsidR="0037477F" w:rsidRPr="00966F5D" w:rsidRDefault="0037477F" w:rsidP="00966F5D">
      <w:pPr>
        <w:spacing w:before="120" w:after="120" w:line="360" w:lineRule="auto"/>
        <w:contextualSpacing/>
        <w:mirrorIndents/>
        <w:jc w:val="both"/>
        <w:rPr>
          <w:rFonts w:ascii="Times New Roman" w:hAnsi="Times New Roman" w:cs="Times New Roman"/>
          <w:noProof/>
          <w:sz w:val="24"/>
          <w:szCs w:val="24"/>
          <w:lang w:val="en-US" w:eastAsia="es-MX"/>
        </w:rPr>
      </w:pPr>
    </w:p>
    <w:p w:rsidR="0037477F" w:rsidRPr="00966F5D" w:rsidRDefault="0037477F" w:rsidP="00966F5D">
      <w:pPr>
        <w:spacing w:before="120" w:after="120" w:line="360" w:lineRule="auto"/>
        <w:contextualSpacing/>
        <w:mirrorIndents/>
        <w:jc w:val="both"/>
        <w:rPr>
          <w:rFonts w:ascii="Times New Roman" w:hAnsi="Times New Roman" w:cs="Times New Roman"/>
          <w:noProof/>
          <w:sz w:val="24"/>
          <w:szCs w:val="24"/>
          <w:lang w:val="en-US" w:eastAsia="es-MX"/>
        </w:rPr>
      </w:pPr>
    </w:p>
    <w:p w:rsidR="0037477F" w:rsidRPr="00966F5D" w:rsidRDefault="00966F5D" w:rsidP="00966F5D">
      <w:pPr>
        <w:spacing w:before="120" w:after="120" w:line="360" w:lineRule="auto"/>
        <w:contextualSpacing/>
        <w:mirrorIndents/>
        <w:jc w:val="both"/>
        <w:rPr>
          <w:rFonts w:ascii="Times New Roman" w:hAnsi="Times New Roman" w:cs="Times New Roman"/>
          <w:iCs/>
          <w:sz w:val="24"/>
          <w:szCs w:val="24"/>
          <w:lang w:val="en-US"/>
        </w:rPr>
      </w:pPr>
      <w:r>
        <w:rPr>
          <w:rFonts w:ascii="Times New Roman" w:hAnsi="Times New Roman" w:cs="Times New Roman"/>
          <w:iCs/>
          <w:noProof/>
          <w:sz w:val="24"/>
          <w:szCs w:val="24"/>
          <w:lang w:eastAsia="es-MX"/>
        </w:rPr>
        <w:lastRenderedPageBreak/>
        <w:drawing>
          <wp:inline distT="0" distB="0" distL="0" distR="0">
            <wp:extent cx="5971540" cy="39757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elo GIIL.png"/>
                    <pic:cNvPicPr/>
                  </pic:nvPicPr>
                  <pic:blipFill>
                    <a:blip r:embed="rId12">
                      <a:extLst>
                        <a:ext uri="{28A0092B-C50C-407E-A947-70E740481C1C}">
                          <a14:useLocalDpi xmlns:a14="http://schemas.microsoft.com/office/drawing/2010/main" val="0"/>
                        </a:ext>
                      </a:extLst>
                    </a:blip>
                    <a:stretch>
                      <a:fillRect/>
                    </a:stretch>
                  </pic:blipFill>
                  <pic:spPr>
                    <a:xfrm>
                      <a:off x="0" y="0"/>
                      <a:ext cx="5971540" cy="3975735"/>
                    </a:xfrm>
                    <a:prstGeom prst="rect">
                      <a:avLst/>
                    </a:prstGeom>
                  </pic:spPr>
                </pic:pic>
              </a:graphicData>
            </a:graphic>
          </wp:inline>
        </w:drawing>
      </w:r>
    </w:p>
    <w:p w:rsidR="0037477F" w:rsidRPr="00966F5D" w:rsidRDefault="0037477F" w:rsidP="00966F5D">
      <w:pPr>
        <w:spacing w:before="120" w:after="120" w:line="360" w:lineRule="auto"/>
        <w:contextualSpacing/>
        <w:mirrorIndents/>
        <w:jc w:val="center"/>
        <w:rPr>
          <w:rFonts w:ascii="Times New Roman" w:hAnsi="Times New Roman" w:cs="Times New Roman"/>
          <w:iCs/>
          <w:sz w:val="24"/>
          <w:szCs w:val="24"/>
          <w:lang w:val="en-US"/>
        </w:rPr>
      </w:pPr>
      <w:proofErr w:type="spellStart"/>
      <w:r w:rsidRPr="00966F5D">
        <w:rPr>
          <w:rFonts w:ascii="Times New Roman" w:hAnsi="Times New Roman" w:cs="Times New Roman"/>
          <w:iCs/>
          <w:sz w:val="24"/>
          <w:szCs w:val="24"/>
          <w:lang w:val="en-US"/>
        </w:rPr>
        <w:t>Figura</w:t>
      </w:r>
      <w:proofErr w:type="spellEnd"/>
      <w:r w:rsidRPr="00966F5D">
        <w:rPr>
          <w:rFonts w:ascii="Times New Roman" w:hAnsi="Times New Roman" w:cs="Times New Roman"/>
          <w:iCs/>
          <w:sz w:val="24"/>
          <w:szCs w:val="24"/>
          <w:lang w:val="en-US"/>
        </w:rPr>
        <w:t xml:space="preserve"> 2: </w:t>
      </w:r>
      <w:proofErr w:type="spellStart"/>
      <w:r w:rsidRPr="00966F5D">
        <w:rPr>
          <w:rFonts w:ascii="Times New Roman" w:hAnsi="Times New Roman" w:cs="Times New Roman"/>
          <w:iCs/>
          <w:sz w:val="24"/>
          <w:szCs w:val="24"/>
          <w:lang w:val="en-US"/>
        </w:rPr>
        <w:t>Modelo</w:t>
      </w:r>
      <w:proofErr w:type="spellEnd"/>
      <w:r w:rsidRPr="00966F5D">
        <w:rPr>
          <w:rFonts w:ascii="Times New Roman" w:hAnsi="Times New Roman" w:cs="Times New Roman"/>
          <w:iCs/>
          <w:sz w:val="24"/>
          <w:szCs w:val="24"/>
          <w:lang w:val="en-US"/>
        </w:rPr>
        <w:t xml:space="preserve"> Gaming Involvement and Informal Learning </w:t>
      </w:r>
    </w:p>
    <w:p w:rsidR="0037477F" w:rsidRPr="00966F5D" w:rsidRDefault="0037477F" w:rsidP="00966F5D">
      <w:pPr>
        <w:spacing w:before="120" w:after="120" w:line="360" w:lineRule="auto"/>
        <w:contextualSpacing/>
        <w:mirrorIndents/>
        <w:jc w:val="both"/>
        <w:rPr>
          <w:rFonts w:ascii="Times New Roman" w:hAnsi="Times New Roman" w:cs="Times New Roman"/>
          <w:noProof/>
          <w:sz w:val="24"/>
          <w:szCs w:val="24"/>
          <w:lang w:val="en-US" w:eastAsia="es-MX"/>
        </w:rPr>
      </w:pPr>
    </w:p>
    <w:p w:rsidR="0037477F" w:rsidRPr="00966F5D" w:rsidRDefault="00C46707" w:rsidP="00966F5D">
      <w:pPr>
        <w:spacing w:before="120" w:after="120" w:line="360" w:lineRule="auto"/>
        <w:contextualSpacing/>
        <w:mirrorIndents/>
        <w:jc w:val="both"/>
        <w:rPr>
          <w:rFonts w:ascii="Times New Roman" w:hAnsi="Times New Roman" w:cs="Times New Roman"/>
          <w:noProof/>
          <w:sz w:val="24"/>
          <w:szCs w:val="24"/>
          <w:lang w:eastAsia="es-MX"/>
        </w:rPr>
      </w:pPr>
      <w:r w:rsidRPr="00966F5D">
        <w:rPr>
          <w:rFonts w:ascii="Times New Roman" w:hAnsi="Times New Roman" w:cs="Times New Roman"/>
          <w:noProof/>
          <w:sz w:val="24"/>
          <w:szCs w:val="24"/>
          <w:lang w:eastAsia="es-MX"/>
        </w:rPr>
        <w:t>En conjunto con el proceso de transferencia de conocimiento de Major y Cordey-Hayes, se considera necesario apoyarse de un segundo modelo, en este caso el Modelo GIIL (Game Involvement and Informal Learning Framework),  propuesto por Ioanna Iacovides y sus coautores (2014). Si bien este modelo fue originalmente propuesto para el estudio de la interacción y aprendizaje por medio de videojuegos, su aplicabilidad se ajusta a los juegos de mesa por igual.</w:t>
      </w:r>
      <w:r w:rsidR="0037477F" w:rsidRPr="00966F5D">
        <w:rPr>
          <w:rFonts w:ascii="Times New Roman" w:hAnsi="Times New Roman" w:cs="Times New Roman"/>
          <w:noProof/>
          <w:sz w:val="24"/>
          <w:szCs w:val="24"/>
          <w:lang w:eastAsia="es-MX"/>
        </w:rPr>
        <w:t>Este modelo esta dividido en tres secciones: el involucramiento de los jugadores a nivel micro y macro, el tipo de aprendizaje que se lelva a cabo a raíz del juego y los conocimientos aprendidos, que retroalimentan a los jugadores y su personalidad (y en este caso, conocimientos).</w:t>
      </w:r>
    </w:p>
    <w:p w:rsidR="004F16E5" w:rsidRPr="00966F5D" w:rsidRDefault="004F16E5" w:rsidP="00966F5D">
      <w:pPr>
        <w:spacing w:before="120" w:after="120" w:line="360" w:lineRule="auto"/>
        <w:contextualSpacing/>
        <w:mirrorIndents/>
        <w:jc w:val="both"/>
        <w:rPr>
          <w:rFonts w:ascii="Times New Roman" w:hAnsi="Times New Roman" w:cs="Times New Roman"/>
          <w:noProof/>
          <w:sz w:val="24"/>
          <w:szCs w:val="24"/>
          <w:lang w:eastAsia="es-MX"/>
        </w:rPr>
      </w:pPr>
    </w:p>
    <w:p w:rsidR="00C46707" w:rsidRPr="00966F5D" w:rsidRDefault="00C46707" w:rsidP="00966F5D">
      <w:pPr>
        <w:spacing w:before="120" w:after="120" w:line="360" w:lineRule="auto"/>
        <w:contextualSpacing/>
        <w:mirrorIndents/>
        <w:jc w:val="both"/>
        <w:rPr>
          <w:rFonts w:ascii="Times New Roman" w:hAnsi="Times New Roman" w:cs="Times New Roman"/>
          <w:noProof/>
          <w:sz w:val="24"/>
          <w:szCs w:val="24"/>
          <w:lang w:eastAsia="es-MX"/>
        </w:rPr>
      </w:pPr>
      <w:r w:rsidRPr="00966F5D">
        <w:rPr>
          <w:rFonts w:ascii="Times New Roman" w:hAnsi="Times New Roman" w:cs="Times New Roman"/>
          <w:noProof/>
          <w:sz w:val="24"/>
          <w:szCs w:val="24"/>
          <w:lang w:eastAsia="es-MX"/>
        </w:rPr>
        <w:t xml:space="preserve">Este modelo esta dividido en tres secciones,  considerando el punto inicial de involucramiento de los jugadores y por tanto la fuente de aprendizaje. Este involucramiento puede ser a nivel micro, donde el aprendiaje sucede a través de el juego o a nivel macro, donde el aprendizaje ocurre a través de actividades relacionadas con el juego, como discusiones entre jugadores o investigación </w:t>
      </w:r>
      <w:r w:rsidRPr="00966F5D">
        <w:rPr>
          <w:rFonts w:ascii="Times New Roman" w:hAnsi="Times New Roman" w:cs="Times New Roman"/>
          <w:noProof/>
          <w:sz w:val="24"/>
          <w:szCs w:val="24"/>
          <w:lang w:eastAsia="es-MX"/>
        </w:rPr>
        <w:lastRenderedPageBreak/>
        <w:t>en la redes (Iacovides, et. Al., 2014). Estos niveles tienen un impacto en el aumento de cosnciencia de los jugadores con respecto a un tema determinado, la relación entre jugadores y con el juego en sí. Asímismo tienen que ver con las habilidades desarrolladas para poder competir dentro del juego. Este modelo esta dividido en tres secciones: el involucramiento de los jugadores a nivel micro y macro, el tipo de aprendizaje que se lelva a cabo a raíz del juego y los conocimientos aprendidos, que retroalimentan a los jugadores y su personalidad (y en este caso, conocimientos).</w:t>
      </w:r>
    </w:p>
    <w:p w:rsidR="008F5A5A" w:rsidRPr="00966F5D" w:rsidRDefault="008F5A5A" w:rsidP="00966F5D">
      <w:pPr>
        <w:spacing w:before="120" w:after="120" w:line="360" w:lineRule="auto"/>
        <w:contextualSpacing/>
        <w:mirrorIndents/>
        <w:jc w:val="both"/>
        <w:rPr>
          <w:rFonts w:ascii="Times New Roman" w:hAnsi="Times New Roman" w:cs="Times New Roman"/>
          <w:noProof/>
          <w:sz w:val="24"/>
          <w:szCs w:val="24"/>
          <w:lang w:eastAsia="es-MX"/>
        </w:rPr>
      </w:pPr>
    </w:p>
    <w:p w:rsidR="008F5A5A" w:rsidRPr="00966F5D" w:rsidRDefault="008F5A5A" w:rsidP="00966F5D">
      <w:pPr>
        <w:spacing w:before="120" w:after="120" w:line="360" w:lineRule="auto"/>
        <w:contextualSpacing/>
        <w:mirrorIndents/>
        <w:jc w:val="both"/>
        <w:rPr>
          <w:rFonts w:ascii="Times New Roman" w:hAnsi="Times New Roman" w:cs="Times New Roman"/>
          <w:noProof/>
          <w:sz w:val="24"/>
          <w:szCs w:val="24"/>
          <w:lang w:eastAsia="es-MX"/>
        </w:rPr>
      </w:pPr>
      <w:r w:rsidRPr="00966F5D">
        <w:rPr>
          <w:rFonts w:ascii="Times New Roman" w:hAnsi="Times New Roman" w:cs="Times New Roman"/>
          <w:noProof/>
          <w:sz w:val="24"/>
          <w:szCs w:val="24"/>
          <w:lang w:eastAsia="es-MX"/>
        </w:rPr>
        <w:t>Ambos modelos de transferencia del conocimiento coadyuvarían a entender como el usar los juegos de mesa para generar un aprendizaje significativo funcionaría, a traves de la ‘traducción’ y transmisión de elementos seleccionados de conocimiento que el estudiante pueda entender, adoptar y aplicar. Para ello es prudente estabelecer algunos parámetros a considerar para diseñar dichos juegos de mesa en función de los modelos anteriormente descritos.</w:t>
      </w:r>
    </w:p>
    <w:p w:rsidR="0037477F" w:rsidRPr="00966F5D" w:rsidRDefault="0037477F" w:rsidP="00966F5D">
      <w:pPr>
        <w:spacing w:before="120" w:after="120" w:line="360" w:lineRule="auto"/>
        <w:contextualSpacing/>
        <w:mirrorIndents/>
        <w:jc w:val="both"/>
        <w:rPr>
          <w:rFonts w:ascii="Times New Roman" w:hAnsi="Times New Roman" w:cs="Times New Roman"/>
          <w:sz w:val="24"/>
          <w:szCs w:val="24"/>
        </w:rPr>
      </w:pPr>
    </w:p>
    <w:p w:rsidR="00F80EA1" w:rsidRPr="00966F5D" w:rsidRDefault="004F16E5" w:rsidP="00966F5D">
      <w:pPr>
        <w:spacing w:before="120" w:after="120" w:line="360" w:lineRule="auto"/>
        <w:contextualSpacing/>
        <w:mirrorIndents/>
        <w:jc w:val="both"/>
        <w:rPr>
          <w:rFonts w:ascii="Times New Roman" w:hAnsi="Times New Roman" w:cs="Times New Roman"/>
          <w:b/>
          <w:sz w:val="24"/>
          <w:szCs w:val="24"/>
        </w:rPr>
      </w:pPr>
      <w:r w:rsidRPr="00966F5D">
        <w:rPr>
          <w:rFonts w:ascii="Times New Roman" w:hAnsi="Times New Roman" w:cs="Times New Roman"/>
          <w:b/>
          <w:sz w:val="24"/>
          <w:szCs w:val="24"/>
        </w:rPr>
        <w:t>5</w:t>
      </w:r>
      <w:r w:rsidR="00F80EA1" w:rsidRPr="00966F5D">
        <w:rPr>
          <w:rFonts w:ascii="Times New Roman" w:hAnsi="Times New Roman" w:cs="Times New Roman"/>
          <w:b/>
          <w:sz w:val="24"/>
          <w:szCs w:val="24"/>
        </w:rPr>
        <w:t xml:space="preserve">. </w:t>
      </w:r>
      <w:r w:rsidR="008F5A5A" w:rsidRPr="00966F5D">
        <w:rPr>
          <w:rFonts w:ascii="Times New Roman" w:hAnsi="Times New Roman" w:cs="Times New Roman"/>
          <w:b/>
          <w:sz w:val="24"/>
          <w:szCs w:val="24"/>
        </w:rPr>
        <w:t>Lineamientos propuestos</w:t>
      </w:r>
    </w:p>
    <w:p w:rsidR="00F80EA1" w:rsidRPr="00966F5D" w:rsidRDefault="00F80EA1" w:rsidP="00966F5D">
      <w:pPr>
        <w:spacing w:before="120" w:after="120" w:line="360" w:lineRule="auto"/>
        <w:contextualSpacing/>
        <w:mirrorIndents/>
        <w:jc w:val="both"/>
        <w:rPr>
          <w:rFonts w:ascii="Times New Roman" w:hAnsi="Times New Roman" w:cs="Times New Roman"/>
          <w:sz w:val="24"/>
          <w:szCs w:val="24"/>
        </w:rPr>
      </w:pPr>
    </w:p>
    <w:p w:rsidR="00F80EA1" w:rsidRPr="00966F5D" w:rsidRDefault="00556170" w:rsidP="00966F5D">
      <w:pPr>
        <w:spacing w:before="120" w:after="120" w:line="360" w:lineRule="auto"/>
        <w:contextualSpacing/>
        <w:mirrorIndents/>
        <w:jc w:val="both"/>
        <w:rPr>
          <w:rFonts w:ascii="Times New Roman" w:hAnsi="Times New Roman" w:cs="Times New Roman"/>
          <w:sz w:val="24"/>
          <w:szCs w:val="24"/>
        </w:rPr>
      </w:pPr>
      <w:r w:rsidRPr="00556170">
        <w:rPr>
          <w:rFonts w:ascii="Times New Roman" w:hAnsi="Times New Roman" w:cs="Times New Roman"/>
          <w:sz w:val="24"/>
          <w:szCs w:val="24"/>
        </w:rPr>
        <w:t xml:space="preserve">El diseño de juegos de mesa, como ejercicio de diseño, permite explorar diversos enfoques y propósitos: recreativo, educativo, competitivo, colaborativo y hasta como herramienta de investigación; o bien una mezcla de varios de estos (Moore, 2016). </w:t>
      </w:r>
      <w:r w:rsidR="00F02A68" w:rsidRPr="00966F5D">
        <w:rPr>
          <w:rFonts w:ascii="Times New Roman" w:hAnsi="Times New Roman" w:cs="Times New Roman"/>
          <w:sz w:val="24"/>
          <w:szCs w:val="24"/>
        </w:rPr>
        <w:t xml:space="preserve">Los juegos de mesa que se desarrollen con el objetivo de generar un aprendizaje significativo en términos de </w:t>
      </w:r>
      <w:r>
        <w:rPr>
          <w:rFonts w:ascii="Times New Roman" w:hAnsi="Times New Roman" w:cs="Times New Roman"/>
          <w:sz w:val="24"/>
          <w:szCs w:val="24"/>
        </w:rPr>
        <w:t>sustentabilidad</w:t>
      </w:r>
      <w:r w:rsidR="00F02A68" w:rsidRPr="00966F5D">
        <w:rPr>
          <w:rFonts w:ascii="Times New Roman" w:hAnsi="Times New Roman" w:cs="Times New Roman"/>
          <w:sz w:val="24"/>
          <w:szCs w:val="24"/>
        </w:rPr>
        <w:t xml:space="preserve"> y responsabilidad social deben considerar los siguientes lineamientos:</w:t>
      </w:r>
    </w:p>
    <w:p w:rsidR="00F02A68" w:rsidRPr="00966F5D" w:rsidRDefault="00F02A68" w:rsidP="00966F5D">
      <w:pPr>
        <w:spacing w:before="120" w:after="120" w:line="360" w:lineRule="auto"/>
        <w:contextualSpacing/>
        <w:mirrorIndents/>
        <w:jc w:val="both"/>
        <w:rPr>
          <w:rFonts w:ascii="Times New Roman" w:hAnsi="Times New Roman" w:cs="Times New Roman"/>
          <w:sz w:val="24"/>
          <w:szCs w:val="24"/>
        </w:rPr>
      </w:pPr>
    </w:p>
    <w:p w:rsidR="00F02A68"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t>Se debe identificar claramente que concepto se desea enseñar para poder convertirlo en unidades sencilla de transferencia de conocimiento.</w:t>
      </w:r>
    </w:p>
    <w:p w:rsidR="00F02A68"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t>Debe recompensar el pensamiento sostenible a través de sus mecánicas y objetivos.</w:t>
      </w:r>
    </w:p>
    <w:p w:rsidR="00F80EA1"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t>Debe promover el uso concientizado de recursos naturales</w:t>
      </w:r>
    </w:p>
    <w:p w:rsidR="00F02A68"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t>Aun cuando exista un solo ganador, el juego debe fomentar la colaboración más que la competencia desbocada.</w:t>
      </w:r>
    </w:p>
    <w:p w:rsidR="00F80EA1"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t xml:space="preserve">Los jugadores/estudiantes deben considerar las tres esferas de la </w:t>
      </w:r>
      <w:r w:rsidR="00556170">
        <w:rPr>
          <w:szCs w:val="24"/>
          <w:lang w:val="es-MX"/>
        </w:rPr>
        <w:t>sustentabilidad</w:t>
      </w:r>
      <w:r w:rsidRPr="00966F5D">
        <w:rPr>
          <w:szCs w:val="24"/>
          <w:lang w:val="es-MX"/>
        </w:rPr>
        <w:t xml:space="preserve"> (ambiental, social y económico).</w:t>
      </w:r>
    </w:p>
    <w:p w:rsidR="00F80EA1"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lastRenderedPageBreak/>
        <w:t>Debe ser fácil de entender y rápido de usar para poder aplicarlo en una sesión promedio de clase, con reglas claras y concisas.</w:t>
      </w:r>
    </w:p>
    <w:p w:rsidR="00F02A68" w:rsidRPr="00966F5D" w:rsidRDefault="00F02A68" w:rsidP="00966F5D">
      <w:pPr>
        <w:pStyle w:val="Prrafodelista"/>
        <w:numPr>
          <w:ilvl w:val="0"/>
          <w:numId w:val="11"/>
        </w:numPr>
        <w:spacing w:before="120" w:after="120"/>
        <w:contextualSpacing/>
        <w:mirrorIndents/>
        <w:jc w:val="both"/>
        <w:rPr>
          <w:szCs w:val="24"/>
          <w:lang w:val="es-MX"/>
        </w:rPr>
      </w:pPr>
      <w:r w:rsidRPr="00966F5D">
        <w:rPr>
          <w:szCs w:val="24"/>
          <w:lang w:val="es-MX"/>
        </w:rPr>
        <w:t>Debe promover la discusión y propuesta de nuevas alternativas por parte de los alumnos en sesiones posteriores a su uso.</w:t>
      </w:r>
    </w:p>
    <w:p w:rsidR="00F80EA1" w:rsidRPr="00966F5D" w:rsidRDefault="00F80EA1" w:rsidP="00966F5D">
      <w:pPr>
        <w:spacing w:before="120" w:after="120" w:line="360" w:lineRule="auto"/>
        <w:contextualSpacing/>
        <w:mirrorIndents/>
        <w:jc w:val="both"/>
        <w:rPr>
          <w:rFonts w:ascii="Times New Roman" w:hAnsi="Times New Roman" w:cs="Times New Roman"/>
          <w:sz w:val="24"/>
          <w:szCs w:val="24"/>
        </w:rPr>
      </w:pPr>
    </w:p>
    <w:p w:rsidR="00F80EA1" w:rsidRPr="00966F5D" w:rsidRDefault="00F02A68" w:rsidP="00966F5D">
      <w:pPr>
        <w:spacing w:before="120" w:after="120" w:line="360" w:lineRule="auto"/>
        <w:contextualSpacing/>
        <w:mirrorIndents/>
        <w:jc w:val="both"/>
        <w:rPr>
          <w:rFonts w:ascii="Times New Roman" w:hAnsi="Times New Roman" w:cs="Times New Roman"/>
          <w:sz w:val="24"/>
          <w:szCs w:val="24"/>
        </w:rPr>
      </w:pPr>
      <w:r w:rsidRPr="00966F5D">
        <w:rPr>
          <w:rFonts w:ascii="Times New Roman" w:hAnsi="Times New Roman" w:cs="Times New Roman"/>
          <w:sz w:val="24"/>
          <w:szCs w:val="24"/>
        </w:rPr>
        <w:t>Con estos lineamientos, debería ser posible generar actividades lúdicas que coadyuven al aprendizaje significativo basado en juegos de conceptos básicos</w:t>
      </w:r>
      <w:r w:rsidR="0026322C" w:rsidRPr="00966F5D">
        <w:rPr>
          <w:rFonts w:ascii="Times New Roman" w:hAnsi="Times New Roman" w:cs="Times New Roman"/>
          <w:sz w:val="24"/>
          <w:szCs w:val="24"/>
        </w:rPr>
        <w:t xml:space="preserve"> de manera que la transferencia de conocimiento sea efectiva y la apropiación del conocimiento así como la identificación del alumno con respecto al tema tome lugar.</w:t>
      </w:r>
    </w:p>
    <w:p w:rsidR="00F80EA1" w:rsidRPr="00966F5D" w:rsidRDefault="00F80EA1" w:rsidP="00966F5D">
      <w:pPr>
        <w:spacing w:before="120" w:after="120" w:line="360" w:lineRule="auto"/>
        <w:contextualSpacing/>
        <w:mirrorIndents/>
        <w:jc w:val="both"/>
        <w:rPr>
          <w:rFonts w:ascii="Times New Roman" w:hAnsi="Times New Roman" w:cs="Times New Roman"/>
          <w:sz w:val="24"/>
          <w:szCs w:val="24"/>
        </w:rPr>
      </w:pPr>
    </w:p>
    <w:p w:rsidR="00F80EA1" w:rsidRPr="00966F5D" w:rsidRDefault="004F16E5" w:rsidP="00966F5D">
      <w:pPr>
        <w:spacing w:before="120" w:after="120" w:line="360" w:lineRule="auto"/>
        <w:contextualSpacing/>
        <w:mirrorIndents/>
        <w:jc w:val="both"/>
        <w:rPr>
          <w:rFonts w:ascii="Times New Roman" w:hAnsi="Times New Roman" w:cs="Times New Roman"/>
          <w:b/>
          <w:sz w:val="24"/>
          <w:szCs w:val="24"/>
        </w:rPr>
      </w:pPr>
      <w:r w:rsidRPr="00966F5D">
        <w:rPr>
          <w:rFonts w:ascii="Times New Roman" w:hAnsi="Times New Roman" w:cs="Times New Roman"/>
          <w:b/>
          <w:sz w:val="24"/>
          <w:szCs w:val="24"/>
        </w:rPr>
        <w:t>6</w:t>
      </w:r>
      <w:r w:rsidR="00F80EA1" w:rsidRPr="00966F5D">
        <w:rPr>
          <w:rFonts w:ascii="Times New Roman" w:hAnsi="Times New Roman" w:cs="Times New Roman"/>
          <w:b/>
          <w:sz w:val="24"/>
          <w:szCs w:val="24"/>
        </w:rPr>
        <w:t>. Conclusion</w:t>
      </w:r>
      <w:r w:rsidR="0026322C" w:rsidRPr="00966F5D">
        <w:rPr>
          <w:rFonts w:ascii="Times New Roman" w:hAnsi="Times New Roman" w:cs="Times New Roman"/>
          <w:b/>
          <w:sz w:val="24"/>
          <w:szCs w:val="24"/>
        </w:rPr>
        <w:t>e</w:t>
      </w:r>
      <w:r w:rsidR="00F80EA1" w:rsidRPr="00966F5D">
        <w:rPr>
          <w:rFonts w:ascii="Times New Roman" w:hAnsi="Times New Roman" w:cs="Times New Roman"/>
          <w:b/>
          <w:sz w:val="24"/>
          <w:szCs w:val="24"/>
        </w:rPr>
        <w:t>s</w:t>
      </w:r>
    </w:p>
    <w:p w:rsidR="00F80EA1" w:rsidRPr="00966F5D" w:rsidRDefault="00F80EA1" w:rsidP="00966F5D">
      <w:pPr>
        <w:spacing w:before="120" w:after="120" w:line="360" w:lineRule="auto"/>
        <w:contextualSpacing/>
        <w:mirrorIndents/>
        <w:jc w:val="both"/>
        <w:rPr>
          <w:rFonts w:ascii="Times New Roman" w:hAnsi="Times New Roman" w:cs="Times New Roman"/>
          <w:sz w:val="24"/>
          <w:szCs w:val="24"/>
        </w:rPr>
      </w:pPr>
    </w:p>
    <w:p w:rsidR="00F80EA1" w:rsidRPr="00966F5D" w:rsidRDefault="0026322C" w:rsidP="00966F5D">
      <w:pPr>
        <w:spacing w:before="120" w:after="120" w:line="360" w:lineRule="auto"/>
        <w:contextualSpacing/>
        <w:mirrorIndents/>
        <w:jc w:val="both"/>
        <w:rPr>
          <w:rFonts w:ascii="Times New Roman" w:hAnsi="Times New Roman" w:cs="Times New Roman"/>
          <w:sz w:val="24"/>
          <w:szCs w:val="24"/>
        </w:rPr>
      </w:pPr>
      <w:r w:rsidRPr="00966F5D">
        <w:rPr>
          <w:rFonts w:ascii="Times New Roman" w:hAnsi="Times New Roman" w:cs="Times New Roman"/>
          <w:sz w:val="24"/>
          <w:szCs w:val="24"/>
        </w:rPr>
        <w:t xml:space="preserve">El juego es una forma viable para promover la transferencia del conocimiento sobre </w:t>
      </w:r>
      <w:r w:rsidR="00556170">
        <w:rPr>
          <w:rFonts w:ascii="Times New Roman" w:hAnsi="Times New Roman" w:cs="Times New Roman"/>
          <w:sz w:val="24"/>
          <w:szCs w:val="24"/>
        </w:rPr>
        <w:t>sustentabilidad</w:t>
      </w:r>
      <w:r w:rsidRPr="00966F5D">
        <w:rPr>
          <w:rFonts w:ascii="Times New Roman" w:hAnsi="Times New Roman" w:cs="Times New Roman"/>
          <w:sz w:val="24"/>
          <w:szCs w:val="24"/>
        </w:rPr>
        <w:t xml:space="preserve"> y responsabilidad social, generando un conocimiento significativo en un ambiente motivacional y entretenido. </w:t>
      </w:r>
      <w:r w:rsidR="00F80EA1" w:rsidRPr="00966F5D">
        <w:rPr>
          <w:rFonts w:ascii="Times New Roman" w:hAnsi="Times New Roman" w:cs="Times New Roman"/>
          <w:sz w:val="24"/>
          <w:szCs w:val="24"/>
        </w:rPr>
        <w:t xml:space="preserve"> </w:t>
      </w:r>
      <w:r w:rsidR="002C55FE" w:rsidRPr="00966F5D">
        <w:rPr>
          <w:rFonts w:ascii="Times New Roman" w:hAnsi="Times New Roman" w:cs="Times New Roman"/>
          <w:sz w:val="24"/>
          <w:szCs w:val="24"/>
        </w:rPr>
        <w:t>Para desarrollar un juego con temática sostenible es necesario identificar que conceptos son susceptibles a ser usados en dicho juego.  Los juegos tienen que lograr alcanzar la mezcla adecuada entre el estudio y la diversión. Mientras más entretenido es el juego, mayor será el grado de absorción del conocimiento, al vencer las barreras naturales del aprendizaje. Un juego solo enfocado en la parte académica puede llegar a parecer muy aburrido. Un juego enfocado solo en la diversión puede distraer al usuario del mensaje. Por lo tanto debe ser posible desarrollar un juego comercial con un fuerte y sólido trasfondo académico</w:t>
      </w:r>
      <w:r w:rsidR="00F80EA1" w:rsidRPr="00966F5D">
        <w:rPr>
          <w:rFonts w:ascii="Times New Roman" w:hAnsi="Times New Roman" w:cs="Times New Roman"/>
          <w:sz w:val="24"/>
          <w:szCs w:val="24"/>
        </w:rPr>
        <w:t xml:space="preserve"> </w:t>
      </w:r>
      <w:r w:rsidRPr="00966F5D">
        <w:rPr>
          <w:rFonts w:ascii="Times New Roman" w:hAnsi="Times New Roman" w:cs="Times New Roman"/>
          <w:sz w:val="24"/>
          <w:szCs w:val="24"/>
        </w:rPr>
        <w:t xml:space="preserve">que permita la flexibilidad y el pensamiento crítico en un área tan sensible como es la </w:t>
      </w:r>
      <w:r w:rsidR="00556170">
        <w:rPr>
          <w:rFonts w:ascii="Times New Roman" w:hAnsi="Times New Roman" w:cs="Times New Roman"/>
          <w:sz w:val="24"/>
          <w:szCs w:val="24"/>
        </w:rPr>
        <w:t>sustentabilidad</w:t>
      </w:r>
      <w:r w:rsidRPr="00966F5D">
        <w:rPr>
          <w:rFonts w:ascii="Times New Roman" w:hAnsi="Times New Roman" w:cs="Times New Roman"/>
          <w:sz w:val="24"/>
          <w:szCs w:val="24"/>
        </w:rPr>
        <w:t>.</w:t>
      </w:r>
    </w:p>
    <w:p w:rsidR="002C55FE" w:rsidRDefault="002C55FE"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Default="001474AC" w:rsidP="00966F5D">
      <w:pPr>
        <w:spacing w:line="360" w:lineRule="auto"/>
        <w:contextualSpacing/>
        <w:jc w:val="both"/>
        <w:rPr>
          <w:rFonts w:ascii="Times New Roman" w:hAnsi="Times New Roman" w:cs="Times New Roman"/>
          <w:sz w:val="24"/>
          <w:szCs w:val="24"/>
        </w:rPr>
      </w:pPr>
    </w:p>
    <w:p w:rsidR="001474AC" w:rsidRPr="00966F5D" w:rsidRDefault="001474AC" w:rsidP="00966F5D">
      <w:pPr>
        <w:spacing w:line="360" w:lineRule="auto"/>
        <w:contextualSpacing/>
        <w:jc w:val="both"/>
        <w:rPr>
          <w:rFonts w:ascii="Times New Roman" w:hAnsi="Times New Roman" w:cs="Times New Roman"/>
          <w:sz w:val="24"/>
          <w:szCs w:val="24"/>
        </w:rPr>
      </w:pPr>
    </w:p>
    <w:p w:rsidR="002C55FE" w:rsidRPr="001474AC" w:rsidRDefault="001474AC" w:rsidP="00966F5D">
      <w:pPr>
        <w:spacing w:line="360" w:lineRule="auto"/>
        <w:contextualSpacing/>
        <w:jc w:val="both"/>
        <w:rPr>
          <w:rFonts w:cstheme="minorHAnsi"/>
          <w:color w:val="7030A0"/>
          <w:sz w:val="28"/>
          <w:szCs w:val="24"/>
        </w:rPr>
      </w:pPr>
      <w:r w:rsidRPr="001474AC">
        <w:rPr>
          <w:rFonts w:cstheme="minorHAnsi"/>
          <w:color w:val="7030A0"/>
          <w:sz w:val="28"/>
          <w:szCs w:val="24"/>
        </w:rPr>
        <w:lastRenderedPageBreak/>
        <w:t>Bibliografía</w:t>
      </w:r>
      <w:r w:rsidR="002C55FE" w:rsidRPr="001474AC">
        <w:rPr>
          <w:rFonts w:cstheme="minorHAnsi"/>
          <w:color w:val="7030A0"/>
          <w:sz w:val="28"/>
          <w:szCs w:val="24"/>
        </w:rPr>
        <w:t xml:space="preserve"> </w:t>
      </w:r>
    </w:p>
    <w:p w:rsidR="0045544C" w:rsidRPr="001474AC" w:rsidRDefault="0045544C" w:rsidP="001474AC">
      <w:pPr>
        <w:spacing w:before="120" w:after="120" w:line="360" w:lineRule="auto"/>
        <w:ind w:left="709" w:hanging="709"/>
        <w:contextualSpacing/>
        <w:mirrorIndents/>
        <w:jc w:val="both"/>
        <w:rPr>
          <w:rFonts w:ascii="Times New Roman" w:hAnsi="Times New Roman" w:cs="Times New Roman"/>
          <w:sz w:val="24"/>
          <w:szCs w:val="24"/>
          <w:lang w:val="en-US"/>
        </w:rPr>
      </w:pPr>
      <w:bookmarkStart w:id="5" w:name="_GoBack"/>
      <w:bookmarkEnd w:id="5"/>
      <w:proofErr w:type="spellStart"/>
      <w:r w:rsidRPr="001474AC">
        <w:rPr>
          <w:rFonts w:ascii="Times New Roman" w:hAnsi="Times New Roman" w:cs="Times New Roman"/>
          <w:sz w:val="24"/>
          <w:szCs w:val="24"/>
          <w:lang w:val="en-US"/>
        </w:rPr>
        <w:t>Ahamer</w:t>
      </w:r>
      <w:proofErr w:type="spellEnd"/>
      <w:r w:rsidRPr="001474AC">
        <w:rPr>
          <w:rFonts w:ascii="Times New Roman" w:hAnsi="Times New Roman" w:cs="Times New Roman"/>
          <w:sz w:val="24"/>
          <w:szCs w:val="24"/>
          <w:lang w:val="en-US"/>
        </w:rPr>
        <w:t xml:space="preserve">, G. (2012). Surfing Global Change: Negotiating sustainable solutions. Simulation &amp; Gaming, 37, 380-397. </w:t>
      </w:r>
    </w:p>
    <w:p w:rsidR="0045544C" w:rsidRPr="001474AC" w:rsidRDefault="0045544C" w:rsidP="001474AC">
      <w:pPr>
        <w:spacing w:before="120" w:after="120" w:line="360" w:lineRule="auto"/>
        <w:ind w:left="709" w:hanging="709"/>
        <w:contextualSpacing/>
        <w:mirrorIndents/>
        <w:jc w:val="both"/>
        <w:rPr>
          <w:rFonts w:ascii="Times New Roman" w:hAnsi="Times New Roman" w:cs="Times New Roman"/>
          <w:b/>
          <w:sz w:val="24"/>
          <w:szCs w:val="24"/>
          <w:lang w:val="en-US"/>
        </w:rPr>
      </w:pPr>
      <w:proofErr w:type="spellStart"/>
      <w:proofErr w:type="gramStart"/>
      <w:r w:rsidRPr="001474AC">
        <w:rPr>
          <w:rFonts w:ascii="Times New Roman" w:hAnsi="Times New Roman" w:cs="Times New Roman"/>
          <w:sz w:val="24"/>
          <w:szCs w:val="24"/>
          <w:lang w:val="en-US"/>
        </w:rPr>
        <w:t>Bhamra</w:t>
      </w:r>
      <w:proofErr w:type="spellEnd"/>
      <w:r w:rsidRPr="001474AC">
        <w:rPr>
          <w:rFonts w:ascii="Times New Roman" w:hAnsi="Times New Roman" w:cs="Times New Roman"/>
          <w:sz w:val="24"/>
          <w:szCs w:val="24"/>
          <w:lang w:val="en-US"/>
        </w:rPr>
        <w:t xml:space="preserve">, T. &amp; </w:t>
      </w:r>
      <w:proofErr w:type="spellStart"/>
      <w:r w:rsidRPr="001474AC">
        <w:rPr>
          <w:rFonts w:ascii="Times New Roman" w:hAnsi="Times New Roman" w:cs="Times New Roman"/>
          <w:sz w:val="24"/>
          <w:szCs w:val="24"/>
          <w:lang w:val="en-US"/>
        </w:rPr>
        <w:t>Lofthouse</w:t>
      </w:r>
      <w:proofErr w:type="spellEnd"/>
      <w:r w:rsidRPr="001474AC">
        <w:rPr>
          <w:rFonts w:ascii="Times New Roman" w:hAnsi="Times New Roman" w:cs="Times New Roman"/>
          <w:sz w:val="24"/>
          <w:szCs w:val="24"/>
          <w:lang w:val="en-US"/>
        </w:rPr>
        <w:t>, V. (2004).</w:t>
      </w:r>
      <w:proofErr w:type="gram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Toolbox for Sustainable Design Education.</w:t>
      </w:r>
      <w:proofErr w:type="gramEnd"/>
      <w:r w:rsidRPr="001474AC">
        <w:rPr>
          <w:rFonts w:ascii="Times New Roman" w:hAnsi="Times New Roman" w:cs="Times New Roman"/>
          <w:sz w:val="24"/>
          <w:szCs w:val="24"/>
          <w:lang w:val="en-US"/>
        </w:rPr>
        <w:t xml:space="preserve"> 2010, de Loughborough University </w:t>
      </w:r>
      <w:proofErr w:type="spellStart"/>
      <w:r w:rsidRPr="001474AC">
        <w:rPr>
          <w:rFonts w:ascii="Times New Roman" w:hAnsi="Times New Roman" w:cs="Times New Roman"/>
          <w:sz w:val="24"/>
          <w:szCs w:val="24"/>
          <w:lang w:val="en-US"/>
        </w:rPr>
        <w:t>Sitio</w:t>
      </w:r>
      <w:proofErr w:type="spellEnd"/>
      <w:r w:rsidRPr="001474AC">
        <w:rPr>
          <w:rFonts w:ascii="Times New Roman" w:hAnsi="Times New Roman" w:cs="Times New Roman"/>
          <w:sz w:val="24"/>
          <w:szCs w:val="24"/>
          <w:lang w:val="en-US"/>
        </w:rPr>
        <w:t xml:space="preserve"> web: http://www.lboro.ac.uk/research/susdesign/LTSN/index.html</w:t>
      </w:r>
    </w:p>
    <w:p w:rsidR="0045544C" w:rsidRPr="001474AC" w:rsidRDefault="0045544C" w:rsidP="001474AC">
      <w:pPr>
        <w:spacing w:line="360" w:lineRule="auto"/>
        <w:ind w:left="709" w:hanging="709"/>
        <w:jc w:val="both"/>
        <w:rPr>
          <w:rFonts w:ascii="Times New Roman" w:hAnsi="Times New Roman" w:cs="Times New Roman"/>
          <w:sz w:val="24"/>
          <w:szCs w:val="24"/>
          <w:lang w:val="en-US"/>
        </w:rPr>
      </w:pPr>
      <w:proofErr w:type="spellStart"/>
      <w:r w:rsidRPr="001474AC">
        <w:rPr>
          <w:rFonts w:ascii="Times New Roman" w:hAnsi="Times New Roman" w:cs="Times New Roman"/>
          <w:sz w:val="24"/>
          <w:szCs w:val="24"/>
          <w:lang w:val="en-US"/>
        </w:rPr>
        <w:t>Daviau</w:t>
      </w:r>
      <w:proofErr w:type="spellEnd"/>
      <w:r w:rsidRPr="001474AC">
        <w:rPr>
          <w:rFonts w:ascii="Times New Roman" w:hAnsi="Times New Roman" w:cs="Times New Roman"/>
          <w:sz w:val="24"/>
          <w:szCs w:val="24"/>
          <w:lang w:val="en-US"/>
        </w:rPr>
        <w:t xml:space="preserve">, R. (2011). Design Intuitively. </w:t>
      </w:r>
      <w:proofErr w:type="spellStart"/>
      <w:r w:rsidRPr="001474AC">
        <w:rPr>
          <w:rFonts w:ascii="Times New Roman" w:hAnsi="Times New Roman" w:cs="Times New Roman"/>
          <w:sz w:val="24"/>
          <w:szCs w:val="24"/>
          <w:lang w:val="en-US"/>
        </w:rPr>
        <w:t>En</w:t>
      </w:r>
      <w:proofErr w:type="spellEnd"/>
      <w:r w:rsidRPr="001474AC">
        <w:rPr>
          <w:rFonts w:ascii="Times New Roman" w:hAnsi="Times New Roman" w:cs="Times New Roman"/>
          <w:sz w:val="24"/>
          <w:szCs w:val="24"/>
          <w:lang w:val="en-US"/>
        </w:rPr>
        <w:t xml:space="preserve"> The Kobold Guide to </w:t>
      </w:r>
      <w:proofErr w:type="spellStart"/>
      <w:r w:rsidRPr="001474AC">
        <w:rPr>
          <w:rFonts w:ascii="Times New Roman" w:hAnsi="Times New Roman" w:cs="Times New Roman"/>
          <w:sz w:val="24"/>
          <w:szCs w:val="24"/>
          <w:lang w:val="en-US"/>
        </w:rPr>
        <w:t>Boardgame</w:t>
      </w:r>
      <w:proofErr w:type="spell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design(</w:t>
      </w:r>
      <w:proofErr w:type="gramEnd"/>
      <w:r w:rsidRPr="001474AC">
        <w:rPr>
          <w:rFonts w:ascii="Times New Roman" w:hAnsi="Times New Roman" w:cs="Times New Roman"/>
          <w:sz w:val="24"/>
          <w:szCs w:val="24"/>
          <w:lang w:val="en-US"/>
        </w:rPr>
        <w:t xml:space="preserve">42-49). Kirkland, Washington, USA: Open Design. </w:t>
      </w:r>
    </w:p>
    <w:p w:rsidR="00556170" w:rsidRPr="001474AC" w:rsidRDefault="0045544C" w:rsidP="001474AC">
      <w:pPr>
        <w:spacing w:line="360" w:lineRule="auto"/>
        <w:ind w:left="709" w:hanging="709"/>
        <w:jc w:val="both"/>
        <w:rPr>
          <w:rFonts w:ascii="Times New Roman" w:hAnsi="Times New Roman" w:cs="Times New Roman"/>
          <w:sz w:val="24"/>
          <w:szCs w:val="24"/>
          <w:lang w:val="en-US"/>
        </w:rPr>
      </w:pPr>
      <w:r w:rsidRPr="001474AC">
        <w:rPr>
          <w:rFonts w:ascii="Times New Roman" w:hAnsi="Times New Roman" w:cs="Times New Roman"/>
          <w:sz w:val="24"/>
          <w:szCs w:val="24"/>
          <w:lang w:val="en-US"/>
        </w:rPr>
        <w:t xml:space="preserve">Hardin, G. (1968). </w:t>
      </w:r>
      <w:proofErr w:type="gramStart"/>
      <w:r w:rsidRPr="001474AC">
        <w:rPr>
          <w:rFonts w:ascii="Times New Roman" w:hAnsi="Times New Roman" w:cs="Times New Roman"/>
          <w:sz w:val="24"/>
          <w:szCs w:val="24"/>
          <w:lang w:val="en-US"/>
        </w:rPr>
        <w:t>The Tragedy of the Commons.</w:t>
      </w:r>
      <w:proofErr w:type="gramEnd"/>
      <w:r w:rsidRPr="001474AC">
        <w:rPr>
          <w:rFonts w:ascii="Times New Roman" w:hAnsi="Times New Roman" w:cs="Times New Roman"/>
          <w:sz w:val="24"/>
          <w:szCs w:val="24"/>
          <w:lang w:val="en-US"/>
        </w:rPr>
        <w:t xml:space="preserve"> . Science, New Series, American Association for the Advancement of Science, 162, 1243-1248. </w:t>
      </w:r>
      <w:r w:rsidR="00556170" w:rsidRPr="001474AC">
        <w:rPr>
          <w:rFonts w:ascii="Times New Roman" w:hAnsi="Times New Roman" w:cs="Times New Roman"/>
          <w:sz w:val="24"/>
          <w:szCs w:val="24"/>
          <w:lang w:val="en-US"/>
        </w:rPr>
        <w:t>http://www.jstor.org/stable/1724745</w:t>
      </w:r>
    </w:p>
    <w:p w:rsidR="002C55FE" w:rsidRPr="001474AC" w:rsidRDefault="0045544C" w:rsidP="001474AC">
      <w:pPr>
        <w:spacing w:before="120" w:after="120" w:line="360" w:lineRule="auto"/>
        <w:ind w:left="709" w:hanging="709"/>
        <w:contextualSpacing/>
        <w:mirrorIndents/>
        <w:jc w:val="both"/>
        <w:rPr>
          <w:rFonts w:ascii="Times New Roman" w:hAnsi="Times New Roman" w:cs="Times New Roman"/>
          <w:sz w:val="24"/>
          <w:szCs w:val="24"/>
          <w:lang w:val="en-US"/>
        </w:rPr>
      </w:pPr>
      <w:proofErr w:type="gramStart"/>
      <w:r w:rsidRPr="001474AC">
        <w:rPr>
          <w:rFonts w:ascii="Times New Roman" w:hAnsi="Times New Roman" w:cs="Times New Roman"/>
          <w:sz w:val="24"/>
          <w:szCs w:val="24"/>
          <w:lang w:val="en-US"/>
        </w:rPr>
        <w:t>Humphries-Smith, T. (2008).</w:t>
      </w:r>
      <w:proofErr w:type="gram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Sustainable Design and the Design Curriculum.</w:t>
      </w:r>
      <w:proofErr w:type="gram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Journal of Design Research, 7, 259-247.</w:t>
      </w:r>
      <w:proofErr w:type="gramEnd"/>
    </w:p>
    <w:p w:rsidR="002C55FE" w:rsidRPr="001474AC" w:rsidRDefault="0045544C" w:rsidP="001474AC">
      <w:pPr>
        <w:spacing w:before="120" w:after="120" w:line="360" w:lineRule="auto"/>
        <w:ind w:left="709" w:hanging="709"/>
        <w:contextualSpacing/>
        <w:mirrorIndents/>
        <w:jc w:val="both"/>
        <w:rPr>
          <w:rFonts w:ascii="Times New Roman" w:hAnsi="Times New Roman" w:cs="Times New Roman"/>
          <w:sz w:val="24"/>
          <w:szCs w:val="24"/>
          <w:lang w:val="en-US"/>
        </w:rPr>
      </w:pPr>
      <w:proofErr w:type="spellStart"/>
      <w:r w:rsidRPr="001474AC">
        <w:rPr>
          <w:rFonts w:ascii="Times New Roman" w:hAnsi="Times New Roman" w:cs="Times New Roman"/>
          <w:sz w:val="24"/>
          <w:szCs w:val="24"/>
          <w:lang w:val="en-US"/>
        </w:rPr>
        <w:t>Iacovides</w:t>
      </w:r>
      <w:proofErr w:type="spell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et</w:t>
      </w:r>
      <w:proofErr w:type="gram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al. (2014).</w:t>
      </w:r>
      <w:proofErr w:type="gram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The Gaming Involvement and Informal Learning Framework.</w:t>
      </w:r>
      <w:proofErr w:type="gramEnd"/>
      <w:r w:rsidRPr="001474AC">
        <w:rPr>
          <w:rFonts w:ascii="Times New Roman" w:hAnsi="Times New Roman" w:cs="Times New Roman"/>
          <w:sz w:val="24"/>
          <w:szCs w:val="24"/>
          <w:lang w:val="en-US"/>
        </w:rPr>
        <w:t xml:space="preserve"> Simulation &amp; Gaming, 45, 611-626.</w:t>
      </w:r>
    </w:p>
    <w:p w:rsidR="0045544C" w:rsidRPr="001474AC" w:rsidRDefault="0045544C" w:rsidP="001474AC">
      <w:pPr>
        <w:spacing w:before="120" w:after="120" w:line="360" w:lineRule="auto"/>
        <w:ind w:left="709" w:hanging="709"/>
        <w:contextualSpacing/>
        <w:mirrorIndents/>
        <w:jc w:val="both"/>
        <w:rPr>
          <w:rFonts w:ascii="Times New Roman" w:hAnsi="Times New Roman" w:cs="Times New Roman"/>
          <w:sz w:val="24"/>
          <w:szCs w:val="24"/>
          <w:lang w:val="en-US"/>
        </w:rPr>
      </w:pPr>
      <w:proofErr w:type="spellStart"/>
      <w:r w:rsidRPr="001474AC">
        <w:rPr>
          <w:rFonts w:ascii="Times New Roman" w:hAnsi="Times New Roman" w:cs="Times New Roman"/>
          <w:sz w:val="24"/>
          <w:szCs w:val="24"/>
          <w:lang w:val="en-GB"/>
        </w:rPr>
        <w:t>Lazzaro</w:t>
      </w:r>
      <w:proofErr w:type="spellEnd"/>
      <w:r w:rsidRPr="001474AC">
        <w:rPr>
          <w:rFonts w:ascii="Times New Roman" w:hAnsi="Times New Roman" w:cs="Times New Roman"/>
          <w:sz w:val="24"/>
          <w:szCs w:val="24"/>
          <w:lang w:val="en-GB"/>
        </w:rPr>
        <w:t xml:space="preserve">, N. (2004). </w:t>
      </w:r>
      <w:proofErr w:type="gramStart"/>
      <w:r w:rsidRPr="001474AC">
        <w:rPr>
          <w:rFonts w:ascii="Times New Roman" w:hAnsi="Times New Roman" w:cs="Times New Roman"/>
          <w:sz w:val="24"/>
          <w:szCs w:val="24"/>
          <w:lang w:val="en-GB"/>
        </w:rPr>
        <w:t>The 4 Keys to Fun.</w:t>
      </w:r>
      <w:proofErr w:type="gramEnd"/>
      <w:r w:rsidRPr="001474AC">
        <w:rPr>
          <w:rFonts w:ascii="Times New Roman" w:hAnsi="Times New Roman" w:cs="Times New Roman"/>
          <w:sz w:val="24"/>
          <w:szCs w:val="24"/>
          <w:lang w:val="en-GB"/>
        </w:rPr>
        <w:t xml:space="preserve"> 2014, de </w:t>
      </w:r>
      <w:proofErr w:type="spellStart"/>
      <w:r w:rsidRPr="001474AC">
        <w:rPr>
          <w:rFonts w:ascii="Times New Roman" w:hAnsi="Times New Roman" w:cs="Times New Roman"/>
          <w:sz w:val="24"/>
          <w:szCs w:val="24"/>
          <w:lang w:val="en-GB"/>
        </w:rPr>
        <w:t>Xeodesign</w:t>
      </w:r>
      <w:proofErr w:type="spellEnd"/>
      <w:r w:rsidRPr="001474AC">
        <w:rPr>
          <w:rFonts w:ascii="Times New Roman" w:hAnsi="Times New Roman" w:cs="Times New Roman"/>
          <w:sz w:val="24"/>
          <w:szCs w:val="24"/>
          <w:lang w:val="en-GB"/>
        </w:rPr>
        <w:t xml:space="preserve"> </w:t>
      </w:r>
      <w:proofErr w:type="spellStart"/>
      <w:r w:rsidRPr="001474AC">
        <w:rPr>
          <w:rFonts w:ascii="Times New Roman" w:hAnsi="Times New Roman" w:cs="Times New Roman"/>
          <w:sz w:val="24"/>
          <w:szCs w:val="24"/>
          <w:lang w:val="en-GB"/>
        </w:rPr>
        <w:t>Sitio</w:t>
      </w:r>
      <w:proofErr w:type="spellEnd"/>
      <w:r w:rsidRPr="001474AC">
        <w:rPr>
          <w:rFonts w:ascii="Times New Roman" w:hAnsi="Times New Roman" w:cs="Times New Roman"/>
          <w:sz w:val="24"/>
          <w:szCs w:val="24"/>
          <w:lang w:val="en-GB"/>
        </w:rPr>
        <w:t xml:space="preserve"> web: http://xeodesign.com/xeodesign_whyweplaygames.pdf </w:t>
      </w:r>
    </w:p>
    <w:p w:rsidR="00A323A7" w:rsidRPr="001474AC" w:rsidRDefault="00A323A7" w:rsidP="001474AC">
      <w:pPr>
        <w:spacing w:line="360" w:lineRule="auto"/>
        <w:ind w:left="709" w:hanging="709"/>
        <w:jc w:val="both"/>
        <w:rPr>
          <w:rFonts w:ascii="Times New Roman" w:hAnsi="Times New Roman" w:cs="Times New Roman"/>
          <w:sz w:val="24"/>
          <w:szCs w:val="24"/>
          <w:lang w:val="en-US"/>
        </w:rPr>
      </w:pPr>
      <w:proofErr w:type="gramStart"/>
      <w:r w:rsidRPr="001474AC">
        <w:rPr>
          <w:rFonts w:ascii="Times New Roman" w:hAnsi="Times New Roman" w:cs="Times New Roman"/>
          <w:sz w:val="24"/>
          <w:szCs w:val="24"/>
          <w:lang w:val="en-US"/>
        </w:rPr>
        <w:t xml:space="preserve">Major, E. &amp; </w:t>
      </w:r>
      <w:proofErr w:type="spellStart"/>
      <w:r w:rsidRPr="001474AC">
        <w:rPr>
          <w:rFonts w:ascii="Times New Roman" w:hAnsi="Times New Roman" w:cs="Times New Roman"/>
          <w:sz w:val="24"/>
          <w:szCs w:val="24"/>
          <w:lang w:val="en-US"/>
        </w:rPr>
        <w:t>Cordey</w:t>
      </w:r>
      <w:proofErr w:type="spellEnd"/>
      <w:r w:rsidRPr="001474AC">
        <w:rPr>
          <w:rFonts w:ascii="Times New Roman" w:hAnsi="Times New Roman" w:cs="Times New Roman"/>
          <w:sz w:val="24"/>
          <w:szCs w:val="24"/>
          <w:lang w:val="en-US"/>
        </w:rPr>
        <w:t>-Hayes, M. (2000).</w:t>
      </w:r>
      <w:proofErr w:type="gramEnd"/>
      <w:r w:rsidRPr="001474AC">
        <w:rPr>
          <w:rFonts w:ascii="Times New Roman" w:hAnsi="Times New Roman" w:cs="Times New Roman"/>
          <w:sz w:val="24"/>
          <w:szCs w:val="24"/>
          <w:lang w:val="en-US"/>
        </w:rPr>
        <w:t xml:space="preserve"> Knowledge translation: A new perspective on knowledge transfer and foresight. </w:t>
      </w:r>
      <w:proofErr w:type="gramStart"/>
      <w:r w:rsidRPr="001474AC">
        <w:rPr>
          <w:rFonts w:ascii="Times New Roman" w:hAnsi="Times New Roman" w:cs="Times New Roman"/>
          <w:sz w:val="24"/>
          <w:szCs w:val="24"/>
          <w:lang w:val="en-US"/>
        </w:rPr>
        <w:t>Foresight.</w:t>
      </w:r>
      <w:proofErr w:type="gramEnd"/>
      <w:r w:rsidRPr="001474AC">
        <w:rPr>
          <w:rFonts w:ascii="Times New Roman" w:hAnsi="Times New Roman" w:cs="Times New Roman"/>
          <w:sz w:val="24"/>
          <w:szCs w:val="24"/>
          <w:lang w:val="en-US"/>
        </w:rPr>
        <w:t xml:space="preserve"> The Journal of Futures Studies, Strategic Thinking and Policy, 2(4), 411-423. </w:t>
      </w:r>
    </w:p>
    <w:p w:rsidR="00556170" w:rsidRPr="001474AC" w:rsidRDefault="00556170" w:rsidP="001474AC">
      <w:pPr>
        <w:spacing w:line="360" w:lineRule="auto"/>
        <w:ind w:left="709" w:hanging="709"/>
        <w:jc w:val="both"/>
        <w:rPr>
          <w:rFonts w:ascii="Times New Roman" w:hAnsi="Times New Roman" w:cs="Times New Roman"/>
          <w:sz w:val="24"/>
          <w:szCs w:val="24"/>
          <w:lang w:val="en-US"/>
        </w:rPr>
      </w:pPr>
      <w:proofErr w:type="spellStart"/>
      <w:r w:rsidRPr="001474AC">
        <w:rPr>
          <w:rFonts w:ascii="Times New Roman" w:hAnsi="Times New Roman" w:cs="Times New Roman"/>
          <w:sz w:val="24"/>
          <w:szCs w:val="24"/>
          <w:lang w:val="en-US"/>
        </w:rPr>
        <w:t>Manzini</w:t>
      </w:r>
      <w:proofErr w:type="spellEnd"/>
      <w:r w:rsidRPr="001474AC">
        <w:rPr>
          <w:rFonts w:ascii="Times New Roman" w:hAnsi="Times New Roman" w:cs="Times New Roman"/>
          <w:sz w:val="24"/>
          <w:szCs w:val="24"/>
          <w:lang w:val="en-US"/>
        </w:rPr>
        <w:t xml:space="preserve">, E. (2006). </w:t>
      </w:r>
      <w:proofErr w:type="gramStart"/>
      <w:r w:rsidRPr="001474AC">
        <w:rPr>
          <w:rFonts w:ascii="Times New Roman" w:hAnsi="Times New Roman" w:cs="Times New Roman"/>
          <w:sz w:val="24"/>
          <w:szCs w:val="24"/>
          <w:lang w:val="en-US"/>
        </w:rPr>
        <w:t>Design, ethics and sustainability.</w:t>
      </w:r>
      <w:proofErr w:type="gramEnd"/>
      <w:r w:rsidRPr="001474AC">
        <w:rPr>
          <w:rFonts w:ascii="Times New Roman" w:hAnsi="Times New Roman" w:cs="Times New Roman"/>
          <w:sz w:val="24"/>
          <w:szCs w:val="24"/>
          <w:lang w:val="en-US"/>
        </w:rPr>
        <w:t xml:space="preserve"> Guidelines for a transition phase. </w:t>
      </w:r>
      <w:proofErr w:type="spellStart"/>
      <w:r w:rsidR="00A323A7" w:rsidRPr="001474AC">
        <w:rPr>
          <w:rFonts w:ascii="Times New Roman" w:hAnsi="Times New Roman" w:cs="Times New Roman"/>
          <w:sz w:val="24"/>
          <w:szCs w:val="24"/>
          <w:lang w:val="en-US"/>
        </w:rPr>
        <w:t>En</w:t>
      </w:r>
      <w:proofErr w:type="spellEnd"/>
      <w:r w:rsidR="00A323A7" w:rsidRPr="001474AC">
        <w:rPr>
          <w:rFonts w:ascii="Times New Roman" w:hAnsi="Times New Roman" w:cs="Times New Roman"/>
          <w:sz w:val="24"/>
          <w:szCs w:val="24"/>
          <w:lang w:val="en-US"/>
        </w:rPr>
        <w:t xml:space="preserve"> Nantes Cumulus Working Papers (</w:t>
      </w:r>
      <w:r w:rsidRPr="001474AC">
        <w:rPr>
          <w:rFonts w:ascii="Times New Roman" w:hAnsi="Times New Roman" w:cs="Times New Roman"/>
          <w:sz w:val="24"/>
          <w:szCs w:val="24"/>
          <w:lang w:val="en-US"/>
        </w:rPr>
        <w:t>9-15). Helsinki: University of Art and Design Helsinki.</w:t>
      </w:r>
    </w:p>
    <w:p w:rsidR="00A323A7" w:rsidRPr="001474AC" w:rsidRDefault="00A323A7" w:rsidP="001474AC">
      <w:pPr>
        <w:spacing w:line="360" w:lineRule="auto"/>
        <w:ind w:left="709" w:hanging="709"/>
        <w:jc w:val="both"/>
        <w:rPr>
          <w:rFonts w:ascii="Times New Roman" w:hAnsi="Times New Roman" w:cs="Times New Roman"/>
          <w:sz w:val="24"/>
          <w:szCs w:val="24"/>
          <w:lang w:val="en-US"/>
        </w:rPr>
      </w:pPr>
      <w:r w:rsidRPr="001474AC">
        <w:rPr>
          <w:rFonts w:ascii="Times New Roman" w:hAnsi="Times New Roman" w:cs="Times New Roman"/>
          <w:sz w:val="24"/>
          <w:szCs w:val="24"/>
          <w:lang w:val="en-US"/>
        </w:rPr>
        <w:t xml:space="preserve">Moore, C. (2016). Games, Gamification, Serious Games, and Simulation: Playing with the Terminology. </w:t>
      </w:r>
      <w:proofErr w:type="spellStart"/>
      <w:r w:rsidRPr="001474AC">
        <w:rPr>
          <w:rFonts w:ascii="Times New Roman" w:hAnsi="Times New Roman" w:cs="Times New Roman"/>
          <w:sz w:val="24"/>
          <w:szCs w:val="24"/>
          <w:lang w:val="en-US"/>
        </w:rPr>
        <w:t>En</w:t>
      </w:r>
      <w:proofErr w:type="spellEnd"/>
      <w:r w:rsidRPr="001474AC">
        <w:rPr>
          <w:rFonts w:ascii="Times New Roman" w:hAnsi="Times New Roman" w:cs="Times New Roman"/>
          <w:sz w:val="24"/>
          <w:szCs w:val="24"/>
          <w:lang w:val="en-US"/>
        </w:rPr>
        <w:t xml:space="preserve"> Whiskey at </w:t>
      </w:r>
      <w:proofErr w:type="gramStart"/>
      <w:r w:rsidRPr="001474AC">
        <w:rPr>
          <w:rFonts w:ascii="Times New Roman" w:hAnsi="Times New Roman" w:cs="Times New Roman"/>
          <w:sz w:val="24"/>
          <w:szCs w:val="24"/>
          <w:lang w:val="en-US"/>
        </w:rPr>
        <w:t>a Water</w:t>
      </w:r>
      <w:proofErr w:type="gramEnd"/>
      <w:r w:rsidRPr="001474AC">
        <w:rPr>
          <w:rFonts w:ascii="Times New Roman" w:hAnsi="Times New Roman" w:cs="Times New Roman"/>
          <w:sz w:val="24"/>
          <w:szCs w:val="24"/>
          <w:lang w:val="en-US"/>
        </w:rPr>
        <w:t xml:space="preserve"> Fight. Water Infrastructure and Social Science </w:t>
      </w:r>
      <w:proofErr w:type="spellStart"/>
      <w:r w:rsidRPr="001474AC">
        <w:rPr>
          <w:rFonts w:ascii="Times New Roman" w:hAnsi="Times New Roman" w:cs="Times New Roman"/>
          <w:sz w:val="24"/>
          <w:szCs w:val="24"/>
          <w:lang w:val="en-US"/>
        </w:rPr>
        <w:t>Sitio</w:t>
      </w:r>
      <w:proofErr w:type="spellEnd"/>
      <w:r w:rsidRPr="001474AC">
        <w:rPr>
          <w:rFonts w:ascii="Times New Roman" w:hAnsi="Times New Roman" w:cs="Times New Roman"/>
          <w:sz w:val="24"/>
          <w:szCs w:val="24"/>
          <w:lang w:val="en-US"/>
        </w:rPr>
        <w:t xml:space="preserve"> web: http://whiskeyatwater.com/2016/01/05/games-gamification-serious-games-and-simulation-playing-with-the-terminology/</w:t>
      </w:r>
    </w:p>
    <w:p w:rsidR="00A323A7" w:rsidRPr="001474AC" w:rsidRDefault="00A323A7" w:rsidP="001474AC">
      <w:pPr>
        <w:spacing w:before="120" w:after="120" w:line="360" w:lineRule="auto"/>
        <w:ind w:left="709" w:hanging="709"/>
        <w:contextualSpacing/>
        <w:mirrorIndents/>
        <w:jc w:val="both"/>
        <w:rPr>
          <w:rFonts w:ascii="Times New Roman" w:hAnsi="Times New Roman" w:cs="Times New Roman"/>
          <w:sz w:val="24"/>
          <w:szCs w:val="24"/>
          <w:lang w:val="en-US"/>
        </w:rPr>
      </w:pPr>
      <w:proofErr w:type="gramStart"/>
      <w:r w:rsidRPr="001474AC">
        <w:rPr>
          <w:rFonts w:ascii="Times New Roman" w:hAnsi="Times New Roman" w:cs="Times New Roman"/>
          <w:sz w:val="24"/>
          <w:szCs w:val="24"/>
          <w:lang w:val="en-US"/>
        </w:rPr>
        <w:t>Scott, W. (2002).</w:t>
      </w:r>
      <w:proofErr w:type="gramEnd"/>
      <w:r w:rsidRPr="001474AC">
        <w:rPr>
          <w:rFonts w:ascii="Times New Roman" w:hAnsi="Times New Roman" w:cs="Times New Roman"/>
          <w:sz w:val="24"/>
          <w:szCs w:val="24"/>
          <w:lang w:val="en-US"/>
        </w:rPr>
        <w:t xml:space="preserve"> Sustainability and learning: what role for the curriculum. </w:t>
      </w:r>
      <w:proofErr w:type="gramStart"/>
      <w:r w:rsidRPr="001474AC">
        <w:rPr>
          <w:rFonts w:ascii="Times New Roman" w:hAnsi="Times New Roman" w:cs="Times New Roman"/>
          <w:sz w:val="24"/>
          <w:szCs w:val="24"/>
          <w:lang w:val="en-US"/>
        </w:rPr>
        <w:t>Inaugural lecture.</w:t>
      </w:r>
      <w:proofErr w:type="gramEnd"/>
      <w:r w:rsidRPr="001474AC">
        <w:rPr>
          <w:rFonts w:ascii="Times New Roman" w:hAnsi="Times New Roman" w:cs="Times New Roman"/>
          <w:sz w:val="24"/>
          <w:szCs w:val="24"/>
          <w:lang w:val="en-US"/>
        </w:rPr>
        <w:t xml:space="preserve"> United Kingdom: Council for the Environmental Education in association with the Centre for Research in Education and Environment, University of Bath </w:t>
      </w:r>
      <w:proofErr w:type="spellStart"/>
      <w:r w:rsidRPr="001474AC">
        <w:rPr>
          <w:rFonts w:ascii="Times New Roman" w:hAnsi="Times New Roman" w:cs="Times New Roman"/>
          <w:sz w:val="24"/>
          <w:szCs w:val="24"/>
          <w:lang w:val="en-US"/>
        </w:rPr>
        <w:t>Sitio</w:t>
      </w:r>
      <w:proofErr w:type="spellEnd"/>
      <w:r w:rsidRPr="001474AC">
        <w:rPr>
          <w:rFonts w:ascii="Times New Roman" w:hAnsi="Times New Roman" w:cs="Times New Roman"/>
          <w:sz w:val="24"/>
          <w:szCs w:val="24"/>
          <w:lang w:val="en-US"/>
        </w:rPr>
        <w:t xml:space="preserve"> web: http://www.bath.ac.uk/cree/resources/scott.pdf</w:t>
      </w:r>
    </w:p>
    <w:p w:rsidR="00A323A7" w:rsidRPr="001474AC" w:rsidRDefault="00A323A7" w:rsidP="001474AC">
      <w:pPr>
        <w:spacing w:line="360" w:lineRule="auto"/>
        <w:ind w:left="709" w:hanging="709"/>
        <w:contextualSpacing/>
        <w:jc w:val="both"/>
        <w:rPr>
          <w:rFonts w:ascii="Times New Roman" w:hAnsi="Times New Roman" w:cs="Times New Roman"/>
          <w:sz w:val="24"/>
          <w:szCs w:val="24"/>
          <w:lang w:val="en-US"/>
        </w:rPr>
      </w:pPr>
      <w:r w:rsidRPr="001474AC">
        <w:rPr>
          <w:rFonts w:ascii="Times New Roman" w:hAnsi="Times New Roman" w:cs="Times New Roman"/>
          <w:sz w:val="24"/>
          <w:szCs w:val="24"/>
          <w:lang w:val="en-US"/>
        </w:rPr>
        <w:lastRenderedPageBreak/>
        <w:t xml:space="preserve">Sterling, </w:t>
      </w:r>
      <w:proofErr w:type="gramStart"/>
      <w:r w:rsidRPr="001474AC">
        <w:rPr>
          <w:rFonts w:ascii="Times New Roman" w:hAnsi="Times New Roman" w:cs="Times New Roman"/>
          <w:sz w:val="24"/>
          <w:szCs w:val="24"/>
          <w:lang w:val="en-US"/>
        </w:rPr>
        <w:t>S..</w:t>
      </w:r>
      <w:proofErr w:type="gramEnd"/>
      <w:r w:rsidRPr="001474AC">
        <w:rPr>
          <w:rFonts w:ascii="Times New Roman" w:hAnsi="Times New Roman" w:cs="Times New Roman"/>
          <w:sz w:val="24"/>
          <w:szCs w:val="24"/>
          <w:lang w:val="en-US"/>
        </w:rPr>
        <w:t xml:space="preserve"> </w:t>
      </w:r>
      <w:proofErr w:type="gramStart"/>
      <w:r w:rsidRPr="001474AC">
        <w:rPr>
          <w:rFonts w:ascii="Times New Roman" w:hAnsi="Times New Roman" w:cs="Times New Roman"/>
          <w:sz w:val="24"/>
          <w:szCs w:val="24"/>
          <w:lang w:val="en-US"/>
        </w:rPr>
        <w:t xml:space="preserve">(2001). </w:t>
      </w:r>
      <w:proofErr w:type="spellStart"/>
      <w:r w:rsidRPr="001474AC">
        <w:rPr>
          <w:rFonts w:ascii="Times New Roman" w:hAnsi="Times New Roman" w:cs="Times New Roman"/>
          <w:sz w:val="24"/>
          <w:szCs w:val="24"/>
          <w:lang w:val="en-US"/>
        </w:rPr>
        <w:t>Sustainatble</w:t>
      </w:r>
      <w:proofErr w:type="spellEnd"/>
      <w:r w:rsidRPr="001474AC">
        <w:rPr>
          <w:rFonts w:ascii="Times New Roman" w:hAnsi="Times New Roman" w:cs="Times New Roman"/>
          <w:sz w:val="24"/>
          <w:szCs w:val="24"/>
          <w:lang w:val="en-US"/>
        </w:rPr>
        <w:t xml:space="preserve"> </w:t>
      </w:r>
      <w:proofErr w:type="spellStart"/>
      <w:r w:rsidRPr="001474AC">
        <w:rPr>
          <w:rFonts w:ascii="Times New Roman" w:hAnsi="Times New Roman" w:cs="Times New Roman"/>
          <w:sz w:val="24"/>
          <w:szCs w:val="24"/>
          <w:lang w:val="en-US"/>
        </w:rPr>
        <w:t>Eductaion</w:t>
      </w:r>
      <w:proofErr w:type="spellEnd"/>
      <w:r w:rsidRPr="001474AC">
        <w:rPr>
          <w:rFonts w:ascii="Times New Roman" w:hAnsi="Times New Roman" w:cs="Times New Roman"/>
          <w:sz w:val="24"/>
          <w:szCs w:val="24"/>
          <w:lang w:val="en-US"/>
        </w:rPr>
        <w:t>.</w:t>
      </w:r>
      <w:proofErr w:type="gramEnd"/>
      <w:r w:rsidRPr="001474AC">
        <w:rPr>
          <w:rFonts w:ascii="Times New Roman" w:hAnsi="Times New Roman" w:cs="Times New Roman"/>
          <w:sz w:val="24"/>
          <w:szCs w:val="24"/>
          <w:lang w:val="en-US"/>
        </w:rPr>
        <w:t xml:space="preserve"> United Kingdom: Green Books Ltd.</w:t>
      </w:r>
    </w:p>
    <w:p w:rsidR="00BC3041" w:rsidRPr="001474AC" w:rsidRDefault="00BC3041" w:rsidP="001474AC">
      <w:pPr>
        <w:spacing w:line="360" w:lineRule="auto"/>
        <w:ind w:left="709" w:hanging="709"/>
        <w:contextualSpacing/>
        <w:jc w:val="both"/>
        <w:rPr>
          <w:rFonts w:ascii="Times New Roman" w:hAnsi="Times New Roman" w:cs="Times New Roman"/>
          <w:sz w:val="24"/>
          <w:szCs w:val="24"/>
          <w:lang w:val="en-US"/>
        </w:rPr>
      </w:pPr>
      <w:proofErr w:type="spellStart"/>
      <w:r w:rsidRPr="001474AC">
        <w:rPr>
          <w:rFonts w:ascii="Times New Roman" w:hAnsi="Times New Roman" w:cs="Times New Roman"/>
          <w:sz w:val="24"/>
          <w:szCs w:val="24"/>
          <w:lang w:val="en-US"/>
        </w:rPr>
        <w:t>Sotamaa</w:t>
      </w:r>
      <w:proofErr w:type="spellEnd"/>
      <w:r w:rsidRPr="001474AC">
        <w:rPr>
          <w:rFonts w:ascii="Times New Roman" w:hAnsi="Times New Roman" w:cs="Times New Roman"/>
          <w:sz w:val="24"/>
          <w:szCs w:val="24"/>
          <w:lang w:val="en-US"/>
        </w:rPr>
        <w:t xml:space="preserve">, </w:t>
      </w:r>
      <w:r w:rsidR="00A323A7" w:rsidRPr="001474AC">
        <w:rPr>
          <w:rFonts w:ascii="Times New Roman" w:hAnsi="Times New Roman" w:cs="Times New Roman"/>
          <w:sz w:val="24"/>
          <w:szCs w:val="24"/>
          <w:lang w:val="en-US"/>
        </w:rPr>
        <w:t>Y</w:t>
      </w:r>
      <w:r w:rsidRPr="001474AC">
        <w:rPr>
          <w:rFonts w:ascii="Times New Roman" w:hAnsi="Times New Roman" w:cs="Times New Roman"/>
          <w:sz w:val="24"/>
          <w:szCs w:val="24"/>
          <w:lang w:val="en-US"/>
        </w:rPr>
        <w:t xml:space="preserve">. (2006). </w:t>
      </w:r>
      <w:proofErr w:type="gramStart"/>
      <w:r w:rsidRPr="001474AC">
        <w:rPr>
          <w:rFonts w:ascii="Times New Roman" w:hAnsi="Times New Roman" w:cs="Times New Roman"/>
          <w:sz w:val="24"/>
          <w:szCs w:val="24"/>
          <w:lang w:val="en-US"/>
        </w:rPr>
        <w:t>Ethics and the global responsibility.</w:t>
      </w:r>
      <w:proofErr w:type="gramEnd"/>
      <w:r w:rsidRPr="001474AC">
        <w:rPr>
          <w:rFonts w:ascii="Times New Roman" w:hAnsi="Times New Roman" w:cs="Times New Roman"/>
          <w:sz w:val="24"/>
          <w:szCs w:val="24"/>
          <w:lang w:val="en-US"/>
        </w:rPr>
        <w:t xml:space="preserve"> </w:t>
      </w:r>
      <w:proofErr w:type="spellStart"/>
      <w:r w:rsidRPr="001474AC">
        <w:rPr>
          <w:rFonts w:ascii="Times New Roman" w:hAnsi="Times New Roman" w:cs="Times New Roman"/>
          <w:sz w:val="24"/>
          <w:szCs w:val="24"/>
          <w:lang w:val="en-US"/>
        </w:rPr>
        <w:t>En</w:t>
      </w:r>
      <w:proofErr w:type="spellEnd"/>
      <w:r w:rsidRPr="001474AC">
        <w:rPr>
          <w:rFonts w:ascii="Times New Roman" w:hAnsi="Times New Roman" w:cs="Times New Roman"/>
          <w:sz w:val="24"/>
          <w:szCs w:val="24"/>
          <w:lang w:val="en-US"/>
        </w:rPr>
        <w:t xml:space="preserve"> Nantes Cumulus Working Papers</w:t>
      </w:r>
      <w:r w:rsidR="00556170" w:rsidRPr="001474AC">
        <w:rPr>
          <w:rFonts w:ascii="Times New Roman" w:hAnsi="Times New Roman" w:cs="Times New Roman"/>
          <w:sz w:val="24"/>
          <w:szCs w:val="24"/>
          <w:lang w:val="en-US"/>
        </w:rPr>
        <w:t xml:space="preserve"> </w:t>
      </w:r>
      <w:r w:rsidRPr="001474AC">
        <w:rPr>
          <w:rFonts w:ascii="Times New Roman" w:hAnsi="Times New Roman" w:cs="Times New Roman"/>
          <w:sz w:val="24"/>
          <w:szCs w:val="24"/>
          <w:lang w:val="en-US"/>
        </w:rPr>
        <w:t>(5-6). Helsinki: University of Art and Design Helsinki.</w:t>
      </w:r>
    </w:p>
    <w:p w:rsidR="00A323A7" w:rsidRPr="001474AC" w:rsidRDefault="00A323A7" w:rsidP="001474AC">
      <w:pPr>
        <w:spacing w:line="360" w:lineRule="auto"/>
        <w:ind w:left="709" w:hanging="709"/>
        <w:contextualSpacing/>
        <w:jc w:val="both"/>
        <w:rPr>
          <w:rFonts w:ascii="Times New Roman" w:hAnsi="Times New Roman" w:cs="Times New Roman"/>
          <w:sz w:val="24"/>
          <w:szCs w:val="24"/>
          <w:lang w:val="en-US"/>
        </w:rPr>
      </w:pPr>
      <w:proofErr w:type="spellStart"/>
      <w:r w:rsidRPr="001474AC">
        <w:rPr>
          <w:rFonts w:ascii="Times New Roman" w:hAnsi="Times New Roman" w:cs="Times New Roman"/>
          <w:sz w:val="24"/>
          <w:szCs w:val="24"/>
          <w:lang w:val="en-US"/>
        </w:rPr>
        <w:t>Treher</w:t>
      </w:r>
      <w:proofErr w:type="spellEnd"/>
      <w:r w:rsidRPr="001474AC">
        <w:rPr>
          <w:rFonts w:ascii="Times New Roman" w:hAnsi="Times New Roman" w:cs="Times New Roman"/>
          <w:sz w:val="24"/>
          <w:szCs w:val="24"/>
          <w:lang w:val="en-US"/>
        </w:rPr>
        <w:t xml:space="preserve">, E. (2011). </w:t>
      </w:r>
      <w:proofErr w:type="gramStart"/>
      <w:r w:rsidRPr="001474AC">
        <w:rPr>
          <w:rFonts w:ascii="Times New Roman" w:hAnsi="Times New Roman" w:cs="Times New Roman"/>
          <w:sz w:val="24"/>
          <w:szCs w:val="24"/>
          <w:lang w:val="en-US"/>
        </w:rPr>
        <w:t>Learning with board games.</w:t>
      </w:r>
      <w:proofErr w:type="gramEnd"/>
      <w:r w:rsidRPr="001474AC">
        <w:rPr>
          <w:rFonts w:ascii="Times New Roman" w:hAnsi="Times New Roman" w:cs="Times New Roman"/>
          <w:sz w:val="24"/>
          <w:szCs w:val="24"/>
          <w:lang w:val="en-US"/>
        </w:rPr>
        <w:t xml:space="preserve"> Play for performance. </w:t>
      </w:r>
      <w:proofErr w:type="gramStart"/>
      <w:r w:rsidRPr="001474AC">
        <w:rPr>
          <w:rFonts w:ascii="Times New Roman" w:hAnsi="Times New Roman" w:cs="Times New Roman"/>
          <w:sz w:val="24"/>
          <w:szCs w:val="24"/>
          <w:lang w:val="en-US"/>
        </w:rPr>
        <w:t>Tools for learning and retention.</w:t>
      </w:r>
      <w:proofErr w:type="gramEnd"/>
      <w:r w:rsidRPr="001474AC">
        <w:rPr>
          <w:rFonts w:ascii="Times New Roman" w:hAnsi="Times New Roman" w:cs="Times New Roman"/>
          <w:sz w:val="24"/>
          <w:szCs w:val="24"/>
          <w:lang w:val="en-US"/>
        </w:rPr>
        <w:t xml:space="preserve"> 2014, de The Learning Key Inc. </w:t>
      </w:r>
      <w:proofErr w:type="spellStart"/>
      <w:r w:rsidRPr="001474AC">
        <w:rPr>
          <w:rFonts w:ascii="Times New Roman" w:hAnsi="Times New Roman" w:cs="Times New Roman"/>
          <w:sz w:val="24"/>
          <w:szCs w:val="24"/>
          <w:lang w:val="en-US"/>
        </w:rPr>
        <w:t>Sitio</w:t>
      </w:r>
      <w:proofErr w:type="spellEnd"/>
      <w:r w:rsidRPr="001474AC">
        <w:rPr>
          <w:rFonts w:ascii="Times New Roman" w:hAnsi="Times New Roman" w:cs="Times New Roman"/>
          <w:sz w:val="24"/>
          <w:szCs w:val="24"/>
          <w:lang w:val="en-US"/>
        </w:rPr>
        <w:t xml:space="preserve"> web: </w:t>
      </w:r>
      <w:hyperlink r:id="rId13" w:history="1">
        <w:r w:rsidRPr="001474AC">
          <w:rPr>
            <w:rStyle w:val="Hipervnculo"/>
            <w:rFonts w:ascii="Times New Roman" w:hAnsi="Times New Roman" w:cs="Times New Roman"/>
            <w:sz w:val="24"/>
            <w:szCs w:val="24"/>
            <w:lang w:val="en-US"/>
          </w:rPr>
          <w:t>http://www.thelearningkey.com</w:t>
        </w:r>
      </w:hyperlink>
    </w:p>
    <w:p w:rsidR="00A323A7" w:rsidRPr="001474AC" w:rsidRDefault="00A323A7" w:rsidP="001474AC">
      <w:pPr>
        <w:spacing w:line="360" w:lineRule="auto"/>
        <w:ind w:left="709" w:hanging="709"/>
        <w:contextualSpacing/>
        <w:jc w:val="both"/>
        <w:rPr>
          <w:szCs w:val="24"/>
          <w:lang w:val="en-US"/>
        </w:rPr>
      </w:pPr>
      <w:proofErr w:type="spellStart"/>
      <w:proofErr w:type="gramStart"/>
      <w:r w:rsidRPr="001474AC">
        <w:rPr>
          <w:rFonts w:ascii="Times New Roman" w:hAnsi="Times New Roman" w:cs="Times New Roman"/>
          <w:sz w:val="24"/>
          <w:szCs w:val="24"/>
          <w:lang w:val="en-US"/>
        </w:rPr>
        <w:t>Zagal</w:t>
      </w:r>
      <w:proofErr w:type="spellEnd"/>
      <w:r w:rsidRPr="001474AC">
        <w:rPr>
          <w:rFonts w:ascii="Times New Roman" w:hAnsi="Times New Roman" w:cs="Times New Roman"/>
          <w:sz w:val="24"/>
          <w:szCs w:val="24"/>
          <w:lang w:val="en-US"/>
        </w:rPr>
        <w:t>, J.P. (2006).</w:t>
      </w:r>
      <w:proofErr w:type="gramEnd"/>
      <w:r w:rsidRPr="001474AC">
        <w:rPr>
          <w:rFonts w:ascii="Times New Roman" w:hAnsi="Times New Roman" w:cs="Times New Roman"/>
          <w:sz w:val="24"/>
          <w:szCs w:val="24"/>
          <w:lang w:val="en-US"/>
        </w:rPr>
        <w:t xml:space="preserve"> Collaborative games: Lessons learned from board games. Simulation &amp; Gaming, 37, 24-40.</w:t>
      </w:r>
    </w:p>
    <w:sectPr w:rsidR="00A323A7" w:rsidRPr="001474AC" w:rsidSect="00C46707">
      <w:headerReference w:type="default" r:id="rId14"/>
      <w:foot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9C" w:rsidRDefault="00FA3A9C" w:rsidP="00BC3041">
      <w:pPr>
        <w:spacing w:after="0" w:line="240" w:lineRule="auto"/>
      </w:pPr>
      <w:r>
        <w:separator/>
      </w:r>
    </w:p>
  </w:endnote>
  <w:endnote w:type="continuationSeparator" w:id="0">
    <w:p w:rsidR="00FA3A9C" w:rsidRDefault="00FA3A9C" w:rsidP="00BC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4AC" w:rsidRDefault="001474AC" w:rsidP="001474AC">
    <w:pPr>
      <w:pStyle w:val="Piedepgina"/>
      <w:jc w:val="center"/>
    </w:pPr>
    <w:r>
      <w:rPr>
        <w:rFonts w:cs="Calibri"/>
        <w:b/>
      </w:rPr>
      <w:t>Vol. 4, Núm. 7</w:t>
    </w:r>
    <w:r w:rsidRPr="00DB0B18">
      <w:rPr>
        <w:rFonts w:cs="Calibri"/>
        <w:b/>
      </w:rPr>
      <w:t xml:space="preserve">                   </w:t>
    </w:r>
    <w:r>
      <w:rPr>
        <w:rFonts w:cs="Calibri"/>
        <w:b/>
      </w:rPr>
      <w:t>Enero - Junio 2017</w:t>
    </w:r>
    <w:r w:rsidRPr="00DB0B18">
      <w:rPr>
        <w:rFonts w:cs="Calibri"/>
        <w:b/>
      </w:rPr>
      <w:t xml:space="preserve">         </w:t>
    </w:r>
    <w:r>
      <w:rPr>
        <w:rFonts w:cs="Calibri"/>
        <w:b/>
      </w:rPr>
      <w:t xml:space="preserve">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9C" w:rsidRDefault="00FA3A9C" w:rsidP="00BC3041">
      <w:pPr>
        <w:spacing w:after="0" w:line="240" w:lineRule="auto"/>
      </w:pPr>
      <w:r>
        <w:separator/>
      </w:r>
    </w:p>
  </w:footnote>
  <w:footnote w:type="continuationSeparator" w:id="0">
    <w:p w:rsidR="00FA3A9C" w:rsidRDefault="00FA3A9C" w:rsidP="00BC30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4AC" w:rsidRDefault="001474AC" w:rsidP="001474AC">
    <w:pPr>
      <w:pStyle w:val="Encabezado"/>
      <w:jc w:val="cente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582"/>
    <w:multiLevelType w:val="multilevel"/>
    <w:tmpl w:val="3086DC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0119A3"/>
    <w:multiLevelType w:val="hybridMultilevel"/>
    <w:tmpl w:val="747C2B8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DC7BCE"/>
    <w:multiLevelType w:val="hybridMultilevel"/>
    <w:tmpl w:val="B3CAD1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F4372B2"/>
    <w:multiLevelType w:val="hybridMultilevel"/>
    <w:tmpl w:val="5B702C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20B35AA"/>
    <w:multiLevelType w:val="multilevel"/>
    <w:tmpl w:val="13B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FB54F1"/>
    <w:multiLevelType w:val="hybridMultilevel"/>
    <w:tmpl w:val="B3D0B4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924D2A"/>
    <w:multiLevelType w:val="hybridMultilevel"/>
    <w:tmpl w:val="CFC0B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6AAF15B9"/>
    <w:multiLevelType w:val="hybridMultilevel"/>
    <w:tmpl w:val="4D94BB82"/>
    <w:lvl w:ilvl="0" w:tplc="6A745740">
      <w:start w:val="1"/>
      <w:numFmt w:val="decimal"/>
      <w:lvlText w:val="%1."/>
      <w:lvlJc w:val="left"/>
      <w:pPr>
        <w:ind w:left="360" w:hanging="360"/>
      </w:pPr>
      <w:rPr>
        <w:rFonts w:hint="default"/>
        <w:b w:val="0"/>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6B212D7E"/>
    <w:multiLevelType w:val="hybridMultilevel"/>
    <w:tmpl w:val="2BD4C45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6CD857EF"/>
    <w:multiLevelType w:val="hybridMultilevel"/>
    <w:tmpl w:val="61F452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E31CD4"/>
    <w:multiLevelType w:val="hybridMultilevel"/>
    <w:tmpl w:val="6598F3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732EB6"/>
    <w:multiLevelType w:val="hybridMultilevel"/>
    <w:tmpl w:val="EFD421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1"/>
  </w:num>
  <w:num w:numId="5">
    <w:abstractNumId w:val="4"/>
  </w:num>
  <w:num w:numId="6">
    <w:abstractNumId w:val="0"/>
  </w:num>
  <w:num w:numId="7">
    <w:abstractNumId w:val="10"/>
  </w:num>
  <w:num w:numId="8">
    <w:abstractNumId w:val="2"/>
  </w:num>
  <w:num w:numId="9">
    <w:abstractNumId w:val="9"/>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BB"/>
    <w:rsid w:val="001474AC"/>
    <w:rsid w:val="00166FB4"/>
    <w:rsid w:val="00180D26"/>
    <w:rsid w:val="00227A05"/>
    <w:rsid w:val="0026322C"/>
    <w:rsid w:val="002C55FE"/>
    <w:rsid w:val="00365F34"/>
    <w:rsid w:val="0037477F"/>
    <w:rsid w:val="00407273"/>
    <w:rsid w:val="0045544C"/>
    <w:rsid w:val="004D52C5"/>
    <w:rsid w:val="004F16E5"/>
    <w:rsid w:val="00556170"/>
    <w:rsid w:val="00584C5A"/>
    <w:rsid w:val="00716E30"/>
    <w:rsid w:val="008751D0"/>
    <w:rsid w:val="008B0949"/>
    <w:rsid w:val="008F5A5A"/>
    <w:rsid w:val="00902984"/>
    <w:rsid w:val="00936CBB"/>
    <w:rsid w:val="00966F5D"/>
    <w:rsid w:val="00977530"/>
    <w:rsid w:val="00A26F11"/>
    <w:rsid w:val="00A323A7"/>
    <w:rsid w:val="00A33EEC"/>
    <w:rsid w:val="00BC3041"/>
    <w:rsid w:val="00C46707"/>
    <w:rsid w:val="00C72F6B"/>
    <w:rsid w:val="00D1689F"/>
    <w:rsid w:val="00D24BA0"/>
    <w:rsid w:val="00D43183"/>
    <w:rsid w:val="00DC4B3C"/>
    <w:rsid w:val="00E276EF"/>
    <w:rsid w:val="00E43122"/>
    <w:rsid w:val="00EB2CA2"/>
    <w:rsid w:val="00F02A68"/>
    <w:rsid w:val="00F46D07"/>
    <w:rsid w:val="00F80EA1"/>
    <w:rsid w:val="00FA3A9C"/>
    <w:rsid w:val="00FE3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55FE"/>
    <w:pPr>
      <w:spacing w:after="0" w:line="360" w:lineRule="auto"/>
      <w:ind w:left="708"/>
    </w:pPr>
    <w:rPr>
      <w:rFonts w:ascii="Times New Roman" w:eastAsia="Times New Roman" w:hAnsi="Times New Roman" w:cs="Times New Roman"/>
      <w:sz w:val="24"/>
      <w:szCs w:val="20"/>
      <w:lang w:val="en-NZ"/>
    </w:rPr>
  </w:style>
  <w:style w:type="paragraph" w:styleId="Epgrafe">
    <w:name w:val="caption"/>
    <w:basedOn w:val="Normal"/>
    <w:next w:val="Normal"/>
    <w:qFormat/>
    <w:rsid w:val="002C55FE"/>
    <w:pPr>
      <w:spacing w:after="0" w:line="240" w:lineRule="auto"/>
    </w:pPr>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C55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FE"/>
    <w:rPr>
      <w:rFonts w:ascii="Tahoma" w:hAnsi="Tahoma" w:cs="Tahoma"/>
      <w:sz w:val="16"/>
      <w:szCs w:val="16"/>
    </w:rPr>
  </w:style>
  <w:style w:type="paragraph" w:styleId="NormalWeb">
    <w:name w:val="Normal (Web)"/>
    <w:basedOn w:val="Normal"/>
    <w:uiPriority w:val="99"/>
    <w:unhideWhenUsed/>
    <w:rsid w:val="002C55FE"/>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apple-converted-space">
    <w:name w:val="apple-converted-space"/>
    <w:basedOn w:val="Fuentedeprrafopredeter"/>
    <w:rsid w:val="002C55FE"/>
  </w:style>
  <w:style w:type="character" w:styleId="Textoennegrita">
    <w:name w:val="Strong"/>
    <w:basedOn w:val="Fuentedeprrafopredeter"/>
    <w:uiPriority w:val="22"/>
    <w:qFormat/>
    <w:rsid w:val="002C55FE"/>
    <w:rPr>
      <w:b/>
      <w:bCs/>
    </w:rPr>
  </w:style>
  <w:style w:type="character" w:styleId="nfasis">
    <w:name w:val="Emphasis"/>
    <w:basedOn w:val="Fuentedeprrafopredeter"/>
    <w:uiPriority w:val="20"/>
    <w:qFormat/>
    <w:rsid w:val="002C55FE"/>
    <w:rPr>
      <w:i/>
      <w:iCs/>
    </w:rPr>
  </w:style>
  <w:style w:type="character" w:styleId="Hipervnculo">
    <w:name w:val="Hyperlink"/>
    <w:basedOn w:val="Fuentedeprrafopredeter"/>
    <w:rsid w:val="002C55FE"/>
    <w:rPr>
      <w:color w:val="0248B0"/>
      <w:u w:val="single"/>
    </w:rPr>
  </w:style>
  <w:style w:type="paragraph" w:styleId="Encabezado">
    <w:name w:val="header"/>
    <w:basedOn w:val="Normal"/>
    <w:link w:val="EncabezadoCar"/>
    <w:uiPriority w:val="99"/>
    <w:unhideWhenUsed/>
    <w:rsid w:val="001474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4AC"/>
  </w:style>
  <w:style w:type="paragraph" w:styleId="Piedepgina">
    <w:name w:val="footer"/>
    <w:basedOn w:val="Normal"/>
    <w:link w:val="PiedepginaCar"/>
    <w:uiPriority w:val="99"/>
    <w:unhideWhenUsed/>
    <w:rsid w:val="001474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4AC"/>
  </w:style>
  <w:style w:type="paragraph" w:customStyle="1" w:styleId="Default">
    <w:name w:val="Default"/>
    <w:rsid w:val="001474A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55FE"/>
    <w:pPr>
      <w:spacing w:after="0" w:line="360" w:lineRule="auto"/>
      <w:ind w:left="708"/>
    </w:pPr>
    <w:rPr>
      <w:rFonts w:ascii="Times New Roman" w:eastAsia="Times New Roman" w:hAnsi="Times New Roman" w:cs="Times New Roman"/>
      <w:sz w:val="24"/>
      <w:szCs w:val="20"/>
      <w:lang w:val="en-NZ"/>
    </w:rPr>
  </w:style>
  <w:style w:type="paragraph" w:styleId="Epgrafe">
    <w:name w:val="caption"/>
    <w:basedOn w:val="Normal"/>
    <w:next w:val="Normal"/>
    <w:qFormat/>
    <w:rsid w:val="002C55FE"/>
    <w:pPr>
      <w:spacing w:after="0" w:line="240" w:lineRule="auto"/>
    </w:pPr>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C55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5FE"/>
    <w:rPr>
      <w:rFonts w:ascii="Tahoma" w:hAnsi="Tahoma" w:cs="Tahoma"/>
      <w:sz w:val="16"/>
      <w:szCs w:val="16"/>
    </w:rPr>
  </w:style>
  <w:style w:type="paragraph" w:styleId="NormalWeb">
    <w:name w:val="Normal (Web)"/>
    <w:basedOn w:val="Normal"/>
    <w:uiPriority w:val="99"/>
    <w:unhideWhenUsed/>
    <w:rsid w:val="002C55FE"/>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apple-converted-space">
    <w:name w:val="apple-converted-space"/>
    <w:basedOn w:val="Fuentedeprrafopredeter"/>
    <w:rsid w:val="002C55FE"/>
  </w:style>
  <w:style w:type="character" w:styleId="Textoennegrita">
    <w:name w:val="Strong"/>
    <w:basedOn w:val="Fuentedeprrafopredeter"/>
    <w:uiPriority w:val="22"/>
    <w:qFormat/>
    <w:rsid w:val="002C55FE"/>
    <w:rPr>
      <w:b/>
      <w:bCs/>
    </w:rPr>
  </w:style>
  <w:style w:type="character" w:styleId="nfasis">
    <w:name w:val="Emphasis"/>
    <w:basedOn w:val="Fuentedeprrafopredeter"/>
    <w:uiPriority w:val="20"/>
    <w:qFormat/>
    <w:rsid w:val="002C55FE"/>
    <w:rPr>
      <w:i/>
      <w:iCs/>
    </w:rPr>
  </w:style>
  <w:style w:type="character" w:styleId="Hipervnculo">
    <w:name w:val="Hyperlink"/>
    <w:basedOn w:val="Fuentedeprrafopredeter"/>
    <w:rsid w:val="002C55FE"/>
    <w:rPr>
      <w:color w:val="0248B0"/>
      <w:u w:val="single"/>
    </w:rPr>
  </w:style>
  <w:style w:type="paragraph" w:styleId="Encabezado">
    <w:name w:val="header"/>
    <w:basedOn w:val="Normal"/>
    <w:link w:val="EncabezadoCar"/>
    <w:uiPriority w:val="99"/>
    <w:unhideWhenUsed/>
    <w:rsid w:val="001474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4AC"/>
  </w:style>
  <w:style w:type="paragraph" w:styleId="Piedepgina">
    <w:name w:val="footer"/>
    <w:basedOn w:val="Normal"/>
    <w:link w:val="PiedepginaCar"/>
    <w:uiPriority w:val="99"/>
    <w:unhideWhenUsed/>
    <w:rsid w:val="001474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4AC"/>
  </w:style>
  <w:style w:type="paragraph" w:customStyle="1" w:styleId="Default">
    <w:name w:val="Default"/>
    <w:rsid w:val="001474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8811">
      <w:bodyDiv w:val="1"/>
      <w:marLeft w:val="0"/>
      <w:marRight w:val="0"/>
      <w:marTop w:val="0"/>
      <w:marBottom w:val="0"/>
      <w:divBdr>
        <w:top w:val="none" w:sz="0" w:space="0" w:color="auto"/>
        <w:left w:val="none" w:sz="0" w:space="0" w:color="auto"/>
        <w:bottom w:val="none" w:sz="0" w:space="0" w:color="auto"/>
        <w:right w:val="none" w:sz="0" w:space="0" w:color="auto"/>
      </w:divBdr>
    </w:div>
    <w:div w:id="1149252463">
      <w:bodyDiv w:val="1"/>
      <w:marLeft w:val="0"/>
      <w:marRight w:val="0"/>
      <w:marTop w:val="0"/>
      <w:marBottom w:val="0"/>
      <w:divBdr>
        <w:top w:val="none" w:sz="0" w:space="0" w:color="auto"/>
        <w:left w:val="none" w:sz="0" w:space="0" w:color="auto"/>
        <w:bottom w:val="none" w:sz="0" w:space="0" w:color="auto"/>
        <w:right w:val="none" w:sz="0" w:space="0" w:color="auto"/>
      </w:divBdr>
    </w:div>
    <w:div w:id="1775393707">
      <w:bodyDiv w:val="1"/>
      <w:marLeft w:val="0"/>
      <w:marRight w:val="0"/>
      <w:marTop w:val="0"/>
      <w:marBottom w:val="0"/>
      <w:divBdr>
        <w:top w:val="none" w:sz="0" w:space="0" w:color="auto"/>
        <w:left w:val="none" w:sz="0" w:space="0" w:color="auto"/>
        <w:bottom w:val="none" w:sz="0" w:space="0" w:color="auto"/>
        <w:right w:val="none" w:sz="0" w:space="0" w:color="auto"/>
      </w:divBdr>
    </w:div>
    <w:div w:id="195929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entabledi@gmail.com" TargetMode="External"/><Relationship Id="rId13" Type="http://schemas.openxmlformats.org/officeDocument/2006/relationships/hyperlink" Target="http://www.thelearningke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turo_santamaria@hotmail.com" TargetMode="External"/><Relationship Id="rId4" Type="http://schemas.openxmlformats.org/officeDocument/2006/relationships/settings" Target="settings.xml"/><Relationship Id="rId9" Type="http://schemas.openxmlformats.org/officeDocument/2006/relationships/hyperlink" Target="mailto:sautrillac@uaemex.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16</Pages>
  <Words>4500</Words>
  <Characters>24755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Gustavo Toledo Andrade</cp:lastModifiedBy>
  <cp:revision>7</cp:revision>
  <dcterms:created xsi:type="dcterms:W3CDTF">2017-01-03T17:40:00Z</dcterms:created>
  <dcterms:modified xsi:type="dcterms:W3CDTF">2017-01-18T01:16:00Z</dcterms:modified>
</cp:coreProperties>
</file>